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A93E" w14:textId="77777777" w:rsidR="005551FE" w:rsidRPr="009B345C" w:rsidRDefault="005551FE" w:rsidP="005551FE">
      <w:pPr>
        <w:rPr>
          <w:color w:val="993366"/>
          <w:sz w:val="44"/>
          <w:szCs w:val="44"/>
        </w:rPr>
      </w:pPr>
      <w:r w:rsidRPr="009B345C">
        <w:rPr>
          <w:color w:val="993366"/>
          <w:sz w:val="44"/>
          <w:szCs w:val="44"/>
        </w:rPr>
        <w:t>Cumbria Office of Police and Crime Commissioner</w:t>
      </w:r>
    </w:p>
    <w:p w14:paraId="4A927F06" w14:textId="77777777" w:rsidR="005551FE" w:rsidRDefault="005551FE" w:rsidP="005551FE">
      <w:pPr>
        <w:rPr>
          <w:b/>
        </w:rPr>
      </w:pPr>
      <w:r w:rsidRPr="005118E2">
        <w:rPr>
          <w:b/>
        </w:rPr>
        <w:t>Cumbria Police and Crime Commissioner (PCC)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0" w:type="auto"/>
        <w:tblLook w:val="04A0" w:firstRow="1" w:lastRow="0" w:firstColumn="1" w:lastColumn="0" w:noHBand="0" w:noVBand="1"/>
      </w:tblPr>
      <w:tblGrid>
        <w:gridCol w:w="4508"/>
        <w:gridCol w:w="4508"/>
      </w:tblGrid>
      <w:tr w:rsidR="005551FE" w14:paraId="76A9A5A5" w14:textId="77777777" w:rsidTr="003B0E20">
        <w:tc>
          <w:tcPr>
            <w:tcW w:w="4508" w:type="dxa"/>
          </w:tcPr>
          <w:p w14:paraId="6DB9FAFB" w14:textId="77777777" w:rsidR="005551FE" w:rsidRPr="00F7424B" w:rsidRDefault="005551FE" w:rsidP="003B0E20">
            <w:pPr>
              <w:rPr>
                <w:b/>
              </w:rPr>
            </w:pPr>
            <w:r w:rsidRPr="00F7424B">
              <w:rPr>
                <w:b/>
              </w:rPr>
              <w:t xml:space="preserve">Inspection Title: </w:t>
            </w:r>
          </w:p>
        </w:tc>
        <w:tc>
          <w:tcPr>
            <w:tcW w:w="4508" w:type="dxa"/>
          </w:tcPr>
          <w:p w14:paraId="7353772E" w14:textId="1C261375" w:rsidR="00E21132" w:rsidRPr="00E21132" w:rsidRDefault="00E21132" w:rsidP="00E21132">
            <w:pPr>
              <w:shd w:val="clear" w:color="auto" w:fill="FFFFFF"/>
              <w:spacing w:after="24"/>
              <w:outlineLvl w:val="2"/>
              <w:rPr>
                <w:rFonts w:ascii="Arial" w:eastAsia="Times New Roman" w:hAnsi="Arial" w:cs="Arial"/>
                <w:sz w:val="20"/>
                <w:szCs w:val="20"/>
                <w:lang w:eastAsia="en-GB"/>
              </w:rPr>
            </w:pPr>
            <w:r>
              <w:rPr>
                <w:rFonts w:ascii="Arial" w:eastAsia="Times New Roman" w:hAnsi="Arial" w:cs="Arial"/>
                <w:sz w:val="20"/>
                <w:szCs w:val="20"/>
                <w:lang w:eastAsia="en-GB"/>
              </w:rPr>
              <w:t xml:space="preserve">#22090 </w:t>
            </w:r>
            <w:r w:rsidRPr="00E21132">
              <w:rPr>
                <w:rFonts w:ascii="Arial" w:eastAsia="Times New Roman" w:hAnsi="Arial" w:cs="Arial"/>
                <w:sz w:val="20"/>
                <w:szCs w:val="20"/>
                <w:lang w:eastAsia="en-GB"/>
              </w:rPr>
              <w:t>State of Policing: The Annual Assessment of Policing in England and Wales 2021</w:t>
            </w:r>
          </w:p>
          <w:p w14:paraId="12DE5683" w14:textId="77C81CF6" w:rsidR="005551FE" w:rsidRDefault="005551FE" w:rsidP="003B0E20"/>
        </w:tc>
      </w:tr>
      <w:tr w:rsidR="005551FE" w14:paraId="5758D4F5" w14:textId="77777777" w:rsidTr="003B0E20">
        <w:tc>
          <w:tcPr>
            <w:tcW w:w="4508" w:type="dxa"/>
          </w:tcPr>
          <w:p w14:paraId="6544A4C6" w14:textId="77777777" w:rsidR="005551FE" w:rsidRPr="00F7424B" w:rsidRDefault="005551FE" w:rsidP="003B0E20">
            <w:pPr>
              <w:rPr>
                <w:b/>
              </w:rPr>
            </w:pPr>
            <w:r w:rsidRPr="00F7424B">
              <w:rPr>
                <w:b/>
              </w:rPr>
              <w:t>Date Published:</w:t>
            </w:r>
          </w:p>
        </w:tc>
        <w:tc>
          <w:tcPr>
            <w:tcW w:w="4508" w:type="dxa"/>
          </w:tcPr>
          <w:p w14:paraId="15722742" w14:textId="2BA8334C" w:rsidR="005551FE" w:rsidRDefault="00E21132" w:rsidP="003B0E20">
            <w:r>
              <w:t>10</w:t>
            </w:r>
            <w:r w:rsidRPr="00E21132">
              <w:rPr>
                <w:vertAlign w:val="superscript"/>
              </w:rPr>
              <w:t>th</w:t>
            </w:r>
            <w:r>
              <w:t xml:space="preserve"> March 2022</w:t>
            </w:r>
          </w:p>
        </w:tc>
      </w:tr>
      <w:tr w:rsidR="005551FE" w14:paraId="471109F3" w14:textId="77777777" w:rsidTr="003B0E20">
        <w:tc>
          <w:tcPr>
            <w:tcW w:w="4508" w:type="dxa"/>
          </w:tcPr>
          <w:p w14:paraId="05EEADDF" w14:textId="77777777" w:rsidR="005551FE" w:rsidRPr="00F7424B" w:rsidRDefault="005551FE" w:rsidP="003B0E20">
            <w:pPr>
              <w:rPr>
                <w:b/>
              </w:rPr>
            </w:pPr>
            <w:r w:rsidRPr="00F7424B">
              <w:rPr>
                <w:b/>
              </w:rPr>
              <w:t>Type of Inspection:</w:t>
            </w:r>
          </w:p>
        </w:tc>
        <w:tc>
          <w:tcPr>
            <w:tcW w:w="4508" w:type="dxa"/>
          </w:tcPr>
          <w:p w14:paraId="309108F2" w14:textId="22359530" w:rsidR="005551FE" w:rsidRDefault="006F130E" w:rsidP="003B0E20">
            <w:r>
              <w:t xml:space="preserve">National Inspection </w:t>
            </w:r>
          </w:p>
        </w:tc>
      </w:tr>
      <w:tr w:rsidR="005551FE" w:rsidRPr="00F7424B" w14:paraId="62D7B849" w14:textId="77777777" w:rsidTr="003B0E20">
        <w:tc>
          <w:tcPr>
            <w:tcW w:w="9016"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3B0E20">
        <w:tc>
          <w:tcPr>
            <w:tcW w:w="9016" w:type="dxa"/>
            <w:gridSpan w:val="2"/>
          </w:tcPr>
          <w:p w14:paraId="169F5701" w14:textId="77777777" w:rsidR="00EC0349" w:rsidRPr="00E21132" w:rsidRDefault="00E21132" w:rsidP="0079152F">
            <w:pPr>
              <w:rPr>
                <w:rFonts w:ascii="Arial" w:hAnsi="Arial" w:cs="Arial"/>
                <w:bCs/>
                <w:sz w:val="18"/>
                <w:szCs w:val="18"/>
              </w:rPr>
            </w:pPr>
            <w:r w:rsidRPr="00E21132">
              <w:rPr>
                <w:rFonts w:ascii="Arial" w:hAnsi="Arial" w:cs="Arial"/>
                <w:bCs/>
                <w:sz w:val="18"/>
                <w:szCs w:val="18"/>
              </w:rPr>
              <w:t>This is Her Majesty’s Chief Inspector of Constabulary’s report to the Secretary of State under Section 54 (4A) of the Police Act 1996. It contains his assessment of the effectiveness and efficiency of policing in England and Wales based on the inspections we carried out between April and November 2021.</w:t>
            </w:r>
          </w:p>
          <w:p w14:paraId="291BCE7B" w14:textId="77777777" w:rsidR="00E21132" w:rsidRPr="00E21132" w:rsidRDefault="00E21132" w:rsidP="0079152F">
            <w:pPr>
              <w:rPr>
                <w:rFonts w:ascii="Arial" w:hAnsi="Arial" w:cs="Arial"/>
                <w:bCs/>
                <w:sz w:val="18"/>
                <w:szCs w:val="18"/>
              </w:rPr>
            </w:pPr>
          </w:p>
          <w:p w14:paraId="2DCE3271" w14:textId="643ED071" w:rsidR="00E21132" w:rsidRPr="00E21132" w:rsidRDefault="00E21132" w:rsidP="0079152F">
            <w:pPr>
              <w:rPr>
                <w:rFonts w:ascii="Arial" w:hAnsi="Arial" w:cs="Arial"/>
                <w:bCs/>
                <w:sz w:val="20"/>
                <w:szCs w:val="20"/>
              </w:rPr>
            </w:pPr>
            <w:r w:rsidRPr="00E21132">
              <w:rPr>
                <w:rFonts w:ascii="Arial" w:hAnsi="Arial" w:cs="Arial"/>
                <w:bCs/>
                <w:sz w:val="18"/>
                <w:szCs w:val="18"/>
              </w:rPr>
              <w:t>This report draws on findings from inspections of police forces in England and Wales, to provide an overall view of the state of policing.</w:t>
            </w:r>
          </w:p>
        </w:tc>
      </w:tr>
      <w:tr w:rsidR="005551FE" w:rsidRPr="00F7424B" w14:paraId="0808154B" w14:textId="77777777" w:rsidTr="003B0E20">
        <w:trPr>
          <w:trHeight w:val="367"/>
        </w:trPr>
        <w:tc>
          <w:tcPr>
            <w:tcW w:w="9016" w:type="dxa"/>
            <w:gridSpan w:val="2"/>
          </w:tcPr>
          <w:p w14:paraId="1E6E498B" w14:textId="60A63CCB" w:rsidR="009E35A0" w:rsidRPr="000D585A" w:rsidRDefault="005551FE" w:rsidP="003B0E20">
            <w:pPr>
              <w:rPr>
                <w:b/>
              </w:rPr>
            </w:pPr>
            <w:r>
              <w:rPr>
                <w:b/>
              </w:rPr>
              <w:t>Recommendations</w:t>
            </w:r>
            <w:r w:rsidRPr="000D585A">
              <w:rPr>
                <w:b/>
              </w:rPr>
              <w:t xml:space="preserve">: </w:t>
            </w:r>
          </w:p>
        </w:tc>
      </w:tr>
      <w:tr w:rsidR="005551FE" w:rsidRPr="00F7424B" w14:paraId="79742FAB" w14:textId="77777777" w:rsidTr="008251DE">
        <w:trPr>
          <w:trHeight w:val="375"/>
        </w:trPr>
        <w:tc>
          <w:tcPr>
            <w:tcW w:w="9016" w:type="dxa"/>
            <w:gridSpan w:val="2"/>
          </w:tcPr>
          <w:p w14:paraId="01D4A603" w14:textId="77777777" w:rsidR="006C26C7" w:rsidRPr="00866AAE" w:rsidRDefault="00E21132" w:rsidP="008251DE">
            <w:pPr>
              <w:pStyle w:val="ListParagraph"/>
              <w:numPr>
                <w:ilvl w:val="0"/>
                <w:numId w:val="10"/>
              </w:numPr>
              <w:autoSpaceDE w:val="0"/>
              <w:autoSpaceDN w:val="0"/>
              <w:adjustRightInd w:val="0"/>
              <w:ind w:left="360"/>
              <w:rPr>
                <w:rFonts w:ascii="Arial" w:hAnsi="Arial" w:cs="Arial"/>
                <w:sz w:val="18"/>
                <w:szCs w:val="18"/>
              </w:rPr>
            </w:pPr>
            <w:r w:rsidRPr="00866AAE">
              <w:rPr>
                <w:rFonts w:ascii="Arial" w:hAnsi="Arial" w:cs="Arial"/>
                <w:sz w:val="18"/>
                <w:szCs w:val="18"/>
              </w:rPr>
              <w:t>#22083 – Recommendation This is Her Majesty’s Chief Inspector of Constabulary’s report to the Secretary of State under Section 54 (</w:t>
            </w:r>
            <w:r w:rsidR="00866AAE" w:rsidRPr="00866AAE">
              <w:rPr>
                <w:rFonts w:ascii="Arial" w:hAnsi="Arial" w:cs="Arial"/>
                <w:sz w:val="18"/>
                <w:szCs w:val="18"/>
              </w:rPr>
              <w:t>4A) of the Police Act 1996. It contains his assessment of the effectiveness and efficiency of policing in England and Wales based on the inspections we carried out between April and November 2021.</w:t>
            </w:r>
          </w:p>
          <w:p w14:paraId="70E76E02" w14:textId="5B9CE0FC" w:rsidR="00866AAE" w:rsidRPr="00CC0B93" w:rsidRDefault="00866AAE" w:rsidP="00866AAE">
            <w:pPr>
              <w:pStyle w:val="ListParagraph"/>
              <w:autoSpaceDE w:val="0"/>
              <w:autoSpaceDN w:val="0"/>
              <w:adjustRightInd w:val="0"/>
              <w:ind w:left="360"/>
              <w:rPr>
                <w:rFonts w:ascii="Calibri" w:hAnsi="Calibri" w:cs="Calibri"/>
              </w:rPr>
            </w:pPr>
            <w:r w:rsidRPr="00866AAE">
              <w:rPr>
                <w:rFonts w:ascii="Arial" w:hAnsi="Arial" w:cs="Arial"/>
                <w:sz w:val="18"/>
                <w:szCs w:val="18"/>
              </w:rPr>
              <w:t>This report draws on findings from inspections of police forces in England and Wales, to provide an overall view of the state of policing.</w:t>
            </w:r>
          </w:p>
        </w:tc>
      </w:tr>
      <w:tr w:rsidR="005551FE" w:rsidRPr="00F7424B" w14:paraId="686E41A8" w14:textId="77777777" w:rsidTr="003B0E20">
        <w:trPr>
          <w:trHeight w:val="225"/>
        </w:trPr>
        <w:tc>
          <w:tcPr>
            <w:tcW w:w="9016" w:type="dxa"/>
            <w:gridSpan w:val="2"/>
          </w:tcPr>
          <w:p w14:paraId="7955B784" w14:textId="77777777" w:rsidR="005551FE" w:rsidRPr="00E063E7" w:rsidRDefault="005551FE" w:rsidP="003B0E20">
            <w:pPr>
              <w:rPr>
                <w:b/>
              </w:rPr>
            </w:pPr>
            <w:r>
              <w:rPr>
                <w:b/>
              </w:rPr>
              <w:t xml:space="preserve">PCC &amp; </w:t>
            </w:r>
            <w:r w:rsidRPr="000D585A">
              <w:rPr>
                <w:b/>
              </w:rPr>
              <w:t>Chief Constable 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3B0E20">
        <w:trPr>
          <w:trHeight w:val="159"/>
        </w:trPr>
        <w:tc>
          <w:tcPr>
            <w:tcW w:w="9016" w:type="dxa"/>
            <w:gridSpan w:val="2"/>
          </w:tcPr>
          <w:p w14:paraId="42BA4469" w14:textId="369B576B" w:rsidR="009B7539" w:rsidRDefault="00CC0B93"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 </w:t>
            </w:r>
            <w:r w:rsidR="008544C7">
              <w:rPr>
                <w:rFonts w:asciiTheme="minorHAnsi" w:hAnsiTheme="minorHAnsi" w:cstheme="minorHAnsi"/>
                <w:sz w:val="22"/>
                <w:szCs w:val="22"/>
              </w:rPr>
              <w:t xml:space="preserve">The Police and Crime Commissioner welcomes the report from HMICFRS. “I have found the findings from inspections of police forces in England and Wales </w:t>
            </w:r>
            <w:r w:rsidR="00151E82">
              <w:rPr>
                <w:rFonts w:asciiTheme="minorHAnsi" w:hAnsiTheme="minorHAnsi" w:cstheme="minorHAnsi"/>
                <w:sz w:val="22"/>
                <w:szCs w:val="22"/>
              </w:rPr>
              <w:t xml:space="preserve">very </w:t>
            </w:r>
            <w:r w:rsidR="008544C7">
              <w:rPr>
                <w:rFonts w:asciiTheme="minorHAnsi" w:hAnsiTheme="minorHAnsi" w:cstheme="minorHAnsi"/>
                <w:sz w:val="22"/>
                <w:szCs w:val="22"/>
              </w:rPr>
              <w:t xml:space="preserve">interesting. </w:t>
            </w:r>
            <w:r w:rsidR="00151E82">
              <w:rPr>
                <w:rFonts w:asciiTheme="minorHAnsi" w:hAnsiTheme="minorHAnsi" w:cstheme="minorHAnsi"/>
                <w:sz w:val="22"/>
                <w:szCs w:val="22"/>
              </w:rPr>
              <w:t xml:space="preserve">Within the report there is the acknowledgement of the </w:t>
            </w:r>
            <w:r w:rsidR="00F40FEB">
              <w:rPr>
                <w:rFonts w:asciiTheme="minorHAnsi" w:hAnsiTheme="minorHAnsi" w:cstheme="minorHAnsi"/>
                <w:sz w:val="22"/>
                <w:szCs w:val="22"/>
              </w:rPr>
              <w:t>number</w:t>
            </w:r>
            <w:r w:rsidR="00151E82">
              <w:rPr>
                <w:rFonts w:asciiTheme="minorHAnsi" w:hAnsiTheme="minorHAnsi" w:cstheme="minorHAnsi"/>
                <w:sz w:val="22"/>
                <w:szCs w:val="22"/>
              </w:rPr>
              <w:t xml:space="preserve"> of changes in policing, both in its institutions and forces’ performance.”</w:t>
            </w:r>
          </w:p>
          <w:p w14:paraId="2100F357" w14:textId="575DE6C7" w:rsidR="00151E82" w:rsidRDefault="00151E82"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w:t>
            </w:r>
            <w:r w:rsidRPr="00151E82">
              <w:rPr>
                <w:rFonts w:asciiTheme="minorHAnsi" w:hAnsiTheme="minorHAnsi" w:cstheme="minorHAnsi"/>
                <w:sz w:val="22"/>
                <w:szCs w:val="22"/>
              </w:rPr>
              <w:t>As the Police and Crime Commissioner for Cumbria I appreciate this acknowledgement and continually meet on a weekly basis with our Chief Constable to discuss the challenges the Constabulary faces</w:t>
            </w:r>
            <w:r w:rsidR="00F40FEB">
              <w:rPr>
                <w:rFonts w:asciiTheme="minorHAnsi" w:hAnsiTheme="minorHAnsi" w:cstheme="minorHAnsi"/>
                <w:sz w:val="22"/>
                <w:szCs w:val="22"/>
              </w:rPr>
              <w:t xml:space="preserve">.  Both within the Constabulary from Institutional change and around the </w:t>
            </w:r>
            <w:r w:rsidR="00F40FEB" w:rsidRPr="00151E82">
              <w:rPr>
                <w:rFonts w:asciiTheme="minorHAnsi" w:hAnsiTheme="minorHAnsi" w:cstheme="minorHAnsi"/>
                <w:sz w:val="22"/>
                <w:szCs w:val="22"/>
              </w:rPr>
              <w:t>challenges</w:t>
            </w:r>
            <w:r w:rsidRPr="00151E82">
              <w:rPr>
                <w:rFonts w:asciiTheme="minorHAnsi" w:hAnsiTheme="minorHAnsi" w:cstheme="minorHAnsi"/>
                <w:sz w:val="22"/>
                <w:szCs w:val="22"/>
              </w:rPr>
              <w:t xml:space="preserve"> the Constabulary faces around the various criminal demands they have to deal with.</w:t>
            </w:r>
            <w:r>
              <w:rPr>
                <w:rFonts w:asciiTheme="minorHAnsi" w:hAnsiTheme="minorHAnsi" w:cstheme="minorHAnsi"/>
                <w:sz w:val="22"/>
                <w:szCs w:val="22"/>
              </w:rPr>
              <w:t xml:space="preserve">  We</w:t>
            </w:r>
            <w:r w:rsidR="00F40FEB">
              <w:rPr>
                <w:rFonts w:asciiTheme="minorHAnsi" w:hAnsiTheme="minorHAnsi" w:cstheme="minorHAnsi"/>
                <w:sz w:val="22"/>
                <w:szCs w:val="22"/>
              </w:rPr>
              <w:t xml:space="preserve"> will</w:t>
            </w:r>
            <w:r>
              <w:rPr>
                <w:rFonts w:asciiTheme="minorHAnsi" w:hAnsiTheme="minorHAnsi" w:cstheme="minorHAnsi"/>
                <w:sz w:val="22"/>
                <w:szCs w:val="22"/>
              </w:rPr>
              <w:t xml:space="preserve"> also look to continue to safeguard and protect victims of crime and ensure offenders are dealt with appropriately.”</w:t>
            </w:r>
          </w:p>
          <w:p w14:paraId="34F926F5" w14:textId="4675C1A1" w:rsidR="00151E82" w:rsidRDefault="00F40FEB" w:rsidP="00151E82">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w:t>
            </w:r>
            <w:r w:rsidR="00151E82">
              <w:rPr>
                <w:rFonts w:asciiTheme="minorHAnsi" w:hAnsiTheme="minorHAnsi" w:cstheme="minorHAnsi"/>
                <w:sz w:val="22"/>
                <w:szCs w:val="22"/>
              </w:rPr>
              <w:t>My recent Police and Crime Plan highlights how I will be working together with the Chief Constable and partner agencies to keep Cumbria safe.</w:t>
            </w:r>
            <w:r>
              <w:rPr>
                <w:rFonts w:asciiTheme="minorHAnsi" w:hAnsiTheme="minorHAnsi" w:cstheme="minorHAnsi"/>
                <w:sz w:val="22"/>
                <w:szCs w:val="22"/>
              </w:rPr>
              <w:t>”</w:t>
            </w:r>
            <w:r w:rsidR="00151E82">
              <w:rPr>
                <w:rFonts w:asciiTheme="minorHAnsi" w:hAnsiTheme="minorHAnsi" w:cstheme="minorHAnsi"/>
                <w:sz w:val="22"/>
                <w:szCs w:val="22"/>
              </w:rPr>
              <w:t xml:space="preserve"> </w:t>
            </w:r>
          </w:p>
          <w:p w14:paraId="0E16CF33" w14:textId="5A9F2104" w:rsidR="00151E82" w:rsidRDefault="00F40FEB" w:rsidP="002E3414">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w:t>
            </w:r>
            <w:r w:rsidR="00151E82">
              <w:rPr>
                <w:rFonts w:asciiTheme="minorHAnsi" w:hAnsiTheme="minorHAnsi" w:cstheme="minorHAnsi"/>
                <w:sz w:val="22"/>
                <w:szCs w:val="22"/>
              </w:rPr>
              <w:t xml:space="preserve">However, as mentioned in the report “State of Policing 2021” there are still some areas for improvement and we will continue to look to improve </w:t>
            </w:r>
            <w:r>
              <w:rPr>
                <w:rFonts w:asciiTheme="minorHAnsi" w:hAnsiTheme="minorHAnsi" w:cstheme="minorHAnsi"/>
                <w:sz w:val="22"/>
                <w:szCs w:val="22"/>
              </w:rPr>
              <w:t>the performance of the Constabulary, by holding the Chief Constable to account on issues of concern.</w:t>
            </w:r>
            <w:r w:rsidR="0059171A">
              <w:rPr>
                <w:rFonts w:asciiTheme="minorHAnsi" w:hAnsiTheme="minorHAnsi" w:cstheme="minorHAnsi"/>
                <w:sz w:val="22"/>
                <w:szCs w:val="22"/>
              </w:rPr>
              <w:t xml:space="preserve">  This includes identifying and overcoming risks of Violence Against Women and Girls, reducing ASB in our areas, preventing offending and reducing reoffending of offenders, increasing the number of Police Officers and PCSO’s out on our streets by creating a </w:t>
            </w:r>
            <w:r w:rsidR="000C1E75">
              <w:rPr>
                <w:rFonts w:asciiTheme="minorHAnsi" w:hAnsiTheme="minorHAnsi" w:cstheme="minorHAnsi"/>
                <w:sz w:val="22"/>
                <w:szCs w:val="22"/>
              </w:rPr>
              <w:t>visible police presence</w:t>
            </w:r>
            <w:r w:rsidR="0059171A">
              <w:rPr>
                <w:rFonts w:asciiTheme="minorHAnsi" w:hAnsiTheme="minorHAnsi" w:cstheme="minorHAnsi"/>
                <w:sz w:val="22"/>
                <w:szCs w:val="22"/>
              </w:rPr>
              <w:t xml:space="preserve"> and looking at the focus on crime and the causes of crime.</w:t>
            </w:r>
            <w:r>
              <w:rPr>
                <w:rFonts w:asciiTheme="minorHAnsi" w:hAnsiTheme="minorHAnsi" w:cstheme="minorHAnsi"/>
                <w:sz w:val="22"/>
                <w:szCs w:val="22"/>
              </w:rPr>
              <w:t>”</w:t>
            </w:r>
          </w:p>
          <w:p w14:paraId="2AA281FB" w14:textId="665D01A7" w:rsidR="000C1E75" w:rsidRPr="000C1E75" w:rsidRDefault="002E3414" w:rsidP="002E3414">
            <w:pPr>
              <w:pStyle w:val="NormalWeb"/>
              <w:shd w:val="clear" w:color="auto" w:fill="FFFFFF"/>
              <w:rPr>
                <w:rFonts w:asciiTheme="minorHAnsi" w:hAnsiTheme="minorHAnsi" w:cstheme="minorHAnsi"/>
                <w:sz w:val="22"/>
                <w:szCs w:val="22"/>
              </w:rPr>
            </w:pPr>
            <w:r w:rsidRPr="000C1E75">
              <w:rPr>
                <w:rFonts w:asciiTheme="minorHAnsi" w:hAnsiTheme="minorHAnsi" w:cstheme="minorHAnsi"/>
                <w:sz w:val="22"/>
                <w:szCs w:val="22"/>
              </w:rPr>
              <w:lastRenderedPageBreak/>
              <w:t>“The Constabulary has worked tirelessly through the recent pandemic and has provided a robust structure to deal with th</w:t>
            </w:r>
            <w:r w:rsidR="000C1E75" w:rsidRPr="000C1E75">
              <w:rPr>
                <w:rFonts w:asciiTheme="minorHAnsi" w:hAnsiTheme="minorHAnsi" w:cstheme="minorHAnsi"/>
                <w:sz w:val="22"/>
                <w:szCs w:val="22"/>
              </w:rPr>
              <w:t>e pandemic, although at times it has been resource intensive, as we move forward the lessons, we have learned in the last two years will enhance the flexibility and resilience of the Force.”</w:t>
            </w:r>
          </w:p>
          <w:p w14:paraId="01566957" w14:textId="5C0AEFE8" w:rsidR="002E3414" w:rsidRPr="00FE2721" w:rsidRDefault="000C1E75" w:rsidP="002E3414">
            <w:pPr>
              <w:pStyle w:val="NormalWeb"/>
              <w:shd w:val="clear" w:color="auto" w:fill="FFFFFF"/>
              <w:rPr>
                <w:rFonts w:cstheme="minorHAnsi"/>
              </w:rPr>
            </w:pPr>
            <w:r>
              <w:rPr>
                <w:rFonts w:cstheme="minorHAnsi"/>
              </w:rPr>
              <w:t xml:space="preserve"> </w:t>
            </w:r>
          </w:p>
        </w:tc>
      </w:tr>
    </w:tbl>
    <w:p w14:paraId="54F0B629" w14:textId="61EED869" w:rsidR="00345CA9" w:rsidRPr="005551FE" w:rsidRDefault="00345CA9">
      <w:pPr>
        <w:rPr>
          <w:b/>
          <w:color w:val="5B9BD5" w:themeColor="accent5"/>
          <w:sz w:val="24"/>
          <w:szCs w:val="24"/>
        </w:rPr>
      </w:pPr>
    </w:p>
    <w:sectPr w:rsidR="00345CA9" w:rsidRPr="00555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09E9" w14:textId="77777777" w:rsidR="00F70C5F" w:rsidRDefault="00F70C5F" w:rsidP="005551FE">
      <w:pPr>
        <w:spacing w:after="0" w:line="240" w:lineRule="auto"/>
      </w:pPr>
      <w:r>
        <w:separator/>
      </w:r>
    </w:p>
  </w:endnote>
  <w:endnote w:type="continuationSeparator" w:id="0">
    <w:p w14:paraId="6D5119B0" w14:textId="77777777" w:rsidR="00F70C5F" w:rsidRDefault="00F70C5F"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865F" w14:textId="77777777" w:rsidR="00F70C5F" w:rsidRDefault="00F70C5F" w:rsidP="005551FE">
      <w:pPr>
        <w:spacing w:after="0" w:line="240" w:lineRule="auto"/>
      </w:pPr>
      <w:r>
        <w:separator/>
      </w:r>
    </w:p>
  </w:footnote>
  <w:footnote w:type="continuationSeparator" w:id="0">
    <w:p w14:paraId="67256880" w14:textId="77777777" w:rsidR="00F70C5F" w:rsidRDefault="00F70C5F"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83D57"/>
    <w:multiLevelType w:val="hybridMultilevel"/>
    <w:tmpl w:val="BD7AA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1929D1"/>
    <w:multiLevelType w:val="hybridMultilevel"/>
    <w:tmpl w:val="E942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3"/>
  </w:num>
  <w:num w:numId="5">
    <w:abstractNumId w:val="9"/>
  </w:num>
  <w:num w:numId="6">
    <w:abstractNumId w:val="2"/>
  </w:num>
  <w:num w:numId="7">
    <w:abstractNumId w:val="1"/>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3504F"/>
    <w:rsid w:val="000354B7"/>
    <w:rsid w:val="0006707B"/>
    <w:rsid w:val="000C1E75"/>
    <w:rsid w:val="00104F3C"/>
    <w:rsid w:val="00112288"/>
    <w:rsid w:val="001342C3"/>
    <w:rsid w:val="00151E82"/>
    <w:rsid w:val="00207864"/>
    <w:rsid w:val="0023509A"/>
    <w:rsid w:val="002E3414"/>
    <w:rsid w:val="0032476B"/>
    <w:rsid w:val="00345CA9"/>
    <w:rsid w:val="00385129"/>
    <w:rsid w:val="0039658F"/>
    <w:rsid w:val="003B3BD5"/>
    <w:rsid w:val="003E43DE"/>
    <w:rsid w:val="004961B2"/>
    <w:rsid w:val="004D4E10"/>
    <w:rsid w:val="005551FE"/>
    <w:rsid w:val="00565793"/>
    <w:rsid w:val="0059171A"/>
    <w:rsid w:val="0066113B"/>
    <w:rsid w:val="006C26C7"/>
    <w:rsid w:val="006C2745"/>
    <w:rsid w:val="006F130E"/>
    <w:rsid w:val="0079152F"/>
    <w:rsid w:val="008251DE"/>
    <w:rsid w:val="008544C7"/>
    <w:rsid w:val="00866AAE"/>
    <w:rsid w:val="008F4E3D"/>
    <w:rsid w:val="00903886"/>
    <w:rsid w:val="00931E2D"/>
    <w:rsid w:val="00960AEE"/>
    <w:rsid w:val="009618AE"/>
    <w:rsid w:val="00991537"/>
    <w:rsid w:val="009B7539"/>
    <w:rsid w:val="009E35A0"/>
    <w:rsid w:val="009E5C4D"/>
    <w:rsid w:val="00A31E30"/>
    <w:rsid w:val="00A7379E"/>
    <w:rsid w:val="00AD5320"/>
    <w:rsid w:val="00AF6BE6"/>
    <w:rsid w:val="00B55EEE"/>
    <w:rsid w:val="00CC0B93"/>
    <w:rsid w:val="00D27E47"/>
    <w:rsid w:val="00D42640"/>
    <w:rsid w:val="00D50AB5"/>
    <w:rsid w:val="00E006DE"/>
    <w:rsid w:val="00E21132"/>
    <w:rsid w:val="00E26599"/>
    <w:rsid w:val="00EC0349"/>
    <w:rsid w:val="00EE75C8"/>
    <w:rsid w:val="00F26796"/>
    <w:rsid w:val="00F40FEB"/>
    <w:rsid w:val="00F70C5F"/>
    <w:rsid w:val="00F76BBB"/>
    <w:rsid w:val="00F81B0B"/>
    <w:rsid w:val="00FC4916"/>
    <w:rsid w:val="00FE2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paragraph" w:styleId="Heading3">
    <w:name w:val="heading 3"/>
    <w:basedOn w:val="Normal"/>
    <w:link w:val="Heading3Char"/>
    <w:uiPriority w:val="9"/>
    <w:qFormat/>
    <w:rsid w:val="00E2113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 w:type="character" w:customStyle="1" w:styleId="Heading3Char">
    <w:name w:val="Heading 3 Char"/>
    <w:basedOn w:val="DefaultParagraphFont"/>
    <w:link w:val="Heading3"/>
    <w:uiPriority w:val="9"/>
    <w:rsid w:val="00E21132"/>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606729">
      <w:bodyDiv w:val="1"/>
      <w:marLeft w:val="0"/>
      <w:marRight w:val="0"/>
      <w:marTop w:val="0"/>
      <w:marBottom w:val="0"/>
      <w:divBdr>
        <w:top w:val="none" w:sz="0" w:space="0" w:color="auto"/>
        <w:left w:val="none" w:sz="0" w:space="0" w:color="auto"/>
        <w:bottom w:val="none" w:sz="0" w:space="0" w:color="auto"/>
        <w:right w:val="none" w:sz="0" w:space="0" w:color="auto"/>
      </w:divBdr>
    </w:div>
    <w:div w:id="1099713250">
      <w:bodyDiv w:val="1"/>
      <w:marLeft w:val="0"/>
      <w:marRight w:val="0"/>
      <w:marTop w:val="0"/>
      <w:marBottom w:val="0"/>
      <w:divBdr>
        <w:top w:val="none" w:sz="0" w:space="0" w:color="auto"/>
        <w:left w:val="none" w:sz="0" w:space="0" w:color="auto"/>
        <w:bottom w:val="none" w:sz="0" w:space="0" w:color="auto"/>
        <w:right w:val="none" w:sz="0" w:space="0" w:color="auto"/>
      </w:divBdr>
    </w:div>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 w:id="196668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Radcliffe, Sandra</cp:lastModifiedBy>
  <cp:revision>5</cp:revision>
  <dcterms:created xsi:type="dcterms:W3CDTF">2022-03-14T09:35:00Z</dcterms:created>
  <dcterms:modified xsi:type="dcterms:W3CDTF">2022-03-18T10:14:00Z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2021-11-03T13:30:36Z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f004378a-ed93-4a91-8b58-c9b437292b10</vt:lpwstr>
  </property>
  <property fmtid="{D5CDD505-2E9C-101B-9397-08002B2CF9AE}" pid="8" name="MSIP_Label_b4fec6b3-91e0-4cb4-97f0-3b695e194c32_ContentBits">
    <vt:lpwstr>0</vt:lpwstr>
  </property>
</Properties>
</file>