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2DF20704" w14:textId="559F0592" w:rsidR="00EF33A6" w:rsidRPr="00EF33A6" w:rsidRDefault="00EF33A6" w:rsidP="00EF33A6">
            <w:pPr>
              <w:pStyle w:val="Heading2"/>
              <w:spacing w:before="0" w:beforeAutospacing="0" w:after="0" w:afterAutospacing="0"/>
              <w:rPr>
                <w:rFonts w:asciiTheme="minorHAnsi" w:hAnsiTheme="minorHAnsi" w:cstheme="minorHAnsi"/>
                <w:b w:val="0"/>
                <w:bCs w:val="0"/>
                <w:caps/>
                <w:spacing w:val="45"/>
                <w:sz w:val="22"/>
                <w:szCs w:val="22"/>
              </w:rPr>
            </w:pPr>
            <w:r>
              <w:rPr>
                <w:rFonts w:asciiTheme="minorHAnsi" w:hAnsiTheme="minorHAnsi" w:cstheme="minorHAnsi"/>
                <w:b w:val="0"/>
                <w:bCs w:val="0"/>
                <w:sz w:val="22"/>
                <w:szCs w:val="22"/>
              </w:rPr>
              <w:t xml:space="preserve">#25922 </w:t>
            </w:r>
            <w:r w:rsidRPr="00EF33A6">
              <w:rPr>
                <w:rFonts w:asciiTheme="minorHAnsi" w:hAnsiTheme="minorHAnsi" w:cstheme="minorHAnsi"/>
                <w:b w:val="0"/>
                <w:bCs w:val="0"/>
                <w:sz w:val="22"/>
                <w:szCs w:val="22"/>
              </w:rPr>
              <w:t>An inspection of how well the police tackle serious youth violence.</w:t>
            </w:r>
          </w:p>
          <w:p w14:paraId="12DE5683" w14:textId="77C81CF6" w:rsidR="005551FE" w:rsidRDefault="005551FE" w:rsidP="003B0E20"/>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34DDB09B" w:rsidR="005551FE" w:rsidRDefault="00EF33A6" w:rsidP="003B0E20">
            <w:r>
              <w:t>08/03/2023</w:t>
            </w:r>
            <w:r w:rsidR="00701F97">
              <w:t xml:space="preserve"> – 03/05/23</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7C7FF358" w14:textId="53A76CFB" w:rsidR="00EC0349" w:rsidRDefault="00EC0349" w:rsidP="0079152F">
            <w:pPr>
              <w:rPr>
                <w:b/>
              </w:rPr>
            </w:pPr>
          </w:p>
          <w:p w14:paraId="46F12911" w14:textId="622E4ED0" w:rsidR="00EF33A6" w:rsidRDefault="00EF33A6" w:rsidP="00EF33A6">
            <w:pPr>
              <w:pStyle w:val="NormalWeb"/>
              <w:spacing w:before="0" w:beforeAutospacing="0" w:after="0" w:afterAutospacing="0"/>
              <w:rPr>
                <w:rFonts w:asciiTheme="minorHAnsi" w:hAnsiTheme="minorHAnsi" w:cstheme="minorHAnsi"/>
                <w:color w:val="101010"/>
                <w:sz w:val="22"/>
                <w:szCs w:val="22"/>
              </w:rPr>
            </w:pPr>
            <w:r w:rsidRPr="00EF33A6">
              <w:rPr>
                <w:rFonts w:asciiTheme="minorHAnsi" w:hAnsiTheme="minorHAnsi" w:cstheme="minorHAnsi"/>
                <w:color w:val="101010"/>
                <w:sz w:val="22"/>
                <w:szCs w:val="22"/>
              </w:rPr>
              <w:t>In 2018, the Home Office published its Serious Violence Strategy, setting out its response to increases in knife crime, gun crime and homicide.</w:t>
            </w:r>
          </w:p>
          <w:p w14:paraId="25926332" w14:textId="77777777" w:rsidR="00EF33A6" w:rsidRPr="00EF33A6" w:rsidRDefault="00EF33A6" w:rsidP="00EF33A6">
            <w:pPr>
              <w:pStyle w:val="NormalWeb"/>
              <w:spacing w:before="0" w:beforeAutospacing="0" w:after="0" w:afterAutospacing="0"/>
              <w:rPr>
                <w:rFonts w:asciiTheme="minorHAnsi" w:hAnsiTheme="minorHAnsi" w:cstheme="minorHAnsi"/>
                <w:color w:val="101010"/>
                <w:sz w:val="22"/>
                <w:szCs w:val="22"/>
              </w:rPr>
            </w:pPr>
          </w:p>
          <w:p w14:paraId="2CC15DF9" w14:textId="044E0910" w:rsidR="00EF33A6" w:rsidRDefault="00EF33A6" w:rsidP="00EF33A6">
            <w:pPr>
              <w:pStyle w:val="NormalWeb"/>
              <w:spacing w:before="0" w:beforeAutospacing="0" w:after="0" w:afterAutospacing="0"/>
              <w:rPr>
                <w:rFonts w:asciiTheme="minorHAnsi" w:hAnsiTheme="minorHAnsi" w:cstheme="minorHAnsi"/>
                <w:color w:val="101010"/>
                <w:sz w:val="22"/>
                <w:szCs w:val="22"/>
              </w:rPr>
            </w:pPr>
            <w:r w:rsidRPr="00EF33A6">
              <w:rPr>
                <w:rFonts w:asciiTheme="minorHAnsi" w:hAnsiTheme="minorHAnsi" w:cstheme="minorHAnsi"/>
                <w:color w:val="101010"/>
                <w:sz w:val="22"/>
                <w:szCs w:val="22"/>
              </w:rPr>
              <w:t>The following year, it began funding violence reduction units in 18 parts of the country with high instances of violent crime.</w:t>
            </w:r>
          </w:p>
          <w:p w14:paraId="40BE5E23" w14:textId="77777777" w:rsidR="00EF33A6" w:rsidRPr="00EF33A6" w:rsidRDefault="00EF33A6" w:rsidP="00EF33A6">
            <w:pPr>
              <w:pStyle w:val="NormalWeb"/>
              <w:spacing w:before="0" w:beforeAutospacing="0" w:after="0" w:afterAutospacing="0"/>
              <w:rPr>
                <w:rFonts w:asciiTheme="minorHAnsi" w:hAnsiTheme="minorHAnsi" w:cstheme="minorHAnsi"/>
                <w:color w:val="101010"/>
                <w:sz w:val="22"/>
                <w:szCs w:val="22"/>
              </w:rPr>
            </w:pPr>
          </w:p>
          <w:p w14:paraId="113EE969" w14:textId="7BF442A3" w:rsidR="00EF33A6" w:rsidRDefault="00EF33A6" w:rsidP="00EF33A6">
            <w:pPr>
              <w:pStyle w:val="NormalWeb"/>
              <w:spacing w:before="0" w:beforeAutospacing="0" w:after="0" w:afterAutospacing="0"/>
              <w:rPr>
                <w:rFonts w:asciiTheme="minorHAnsi" w:hAnsiTheme="minorHAnsi" w:cstheme="minorHAnsi"/>
                <w:color w:val="101010"/>
                <w:sz w:val="22"/>
                <w:szCs w:val="22"/>
              </w:rPr>
            </w:pPr>
            <w:r w:rsidRPr="00EF33A6">
              <w:rPr>
                <w:rFonts w:asciiTheme="minorHAnsi" w:hAnsiTheme="minorHAnsi" w:cstheme="minorHAnsi"/>
                <w:color w:val="101010"/>
                <w:sz w:val="22"/>
                <w:szCs w:val="22"/>
              </w:rPr>
              <w:t>HMICFRS examined how well police address serious youth violence to reduce violent crime involving young people (particularly between the ages of 14 to 24 years).</w:t>
            </w:r>
          </w:p>
          <w:p w14:paraId="64AD605F" w14:textId="77777777" w:rsidR="00EF33A6" w:rsidRPr="00EF33A6" w:rsidRDefault="00EF33A6" w:rsidP="00EF33A6">
            <w:pPr>
              <w:pStyle w:val="NormalWeb"/>
              <w:spacing w:before="0" w:beforeAutospacing="0" w:after="0" w:afterAutospacing="0"/>
              <w:rPr>
                <w:rFonts w:asciiTheme="minorHAnsi" w:hAnsiTheme="minorHAnsi" w:cstheme="minorHAnsi"/>
                <w:color w:val="101010"/>
                <w:sz w:val="22"/>
                <w:szCs w:val="22"/>
              </w:rPr>
            </w:pPr>
          </w:p>
          <w:p w14:paraId="0A2B0FFA" w14:textId="77777777" w:rsidR="00EF33A6" w:rsidRDefault="00EF33A6" w:rsidP="00EF33A6">
            <w:pPr>
              <w:pStyle w:val="NormalWeb"/>
              <w:spacing w:before="0" w:beforeAutospacing="0" w:after="0" w:afterAutospacing="0"/>
              <w:rPr>
                <w:rFonts w:asciiTheme="minorHAnsi" w:hAnsiTheme="minorHAnsi" w:cstheme="minorHAnsi"/>
                <w:color w:val="101010"/>
                <w:sz w:val="22"/>
                <w:szCs w:val="22"/>
              </w:rPr>
            </w:pPr>
            <w:r w:rsidRPr="00EF33A6">
              <w:rPr>
                <w:rFonts w:asciiTheme="minorHAnsi" w:hAnsiTheme="minorHAnsi" w:cstheme="minorHAnsi"/>
                <w:color w:val="101010"/>
                <w:sz w:val="22"/>
                <w:szCs w:val="22"/>
              </w:rPr>
              <w:t>In January 2022, we commissioned User Voice to conduct research on the lived experience of those who have committed, and been on the receiving end, of serious youth violence.</w:t>
            </w:r>
          </w:p>
          <w:p w14:paraId="2DCE3271" w14:textId="7415FA2A" w:rsidR="00EF33A6" w:rsidRPr="00EF33A6" w:rsidRDefault="00EF33A6" w:rsidP="00EF33A6">
            <w:pPr>
              <w:pStyle w:val="NormalWeb"/>
              <w:rPr>
                <w:rFonts w:asciiTheme="minorHAnsi" w:hAnsiTheme="minorHAnsi" w:cstheme="minorHAnsi"/>
                <w:color w:val="101010"/>
                <w:sz w:val="22"/>
                <w:szCs w:val="22"/>
              </w:rPr>
            </w:pP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EF33A6">
        <w:trPr>
          <w:trHeight w:val="375"/>
        </w:trPr>
        <w:tc>
          <w:tcPr>
            <w:tcW w:w="9016" w:type="dxa"/>
            <w:gridSpan w:val="2"/>
            <w:shd w:val="clear" w:color="auto" w:fill="FFFFFF" w:themeFill="background1"/>
          </w:tcPr>
          <w:p w14:paraId="6F25194E" w14:textId="77777777" w:rsidR="008A2A5F" w:rsidRPr="00EF33A6" w:rsidRDefault="008A2A5F" w:rsidP="00EF33A6">
            <w:pPr>
              <w:pStyle w:val="ListParagraph"/>
              <w:autoSpaceDE w:val="0"/>
              <w:autoSpaceDN w:val="0"/>
              <w:adjustRightInd w:val="0"/>
              <w:ind w:left="360"/>
              <w:rPr>
                <w:rFonts w:asciiTheme="minorHAnsi" w:hAnsiTheme="minorHAnsi" w:cstheme="minorHAnsi"/>
              </w:rPr>
            </w:pPr>
          </w:p>
          <w:p w14:paraId="33FA93E2" w14:textId="3B0C415E" w:rsidR="00EF33A6" w:rsidRPr="00EF33A6" w:rsidRDefault="00EF33A6" w:rsidP="00EF33A6">
            <w:pPr>
              <w:pStyle w:val="ListParagraph"/>
              <w:numPr>
                <w:ilvl w:val="0"/>
                <w:numId w:val="10"/>
              </w:numPr>
              <w:rPr>
                <w:rFonts w:asciiTheme="minorHAnsi" w:hAnsiTheme="minorHAnsi" w:cstheme="minorHAnsi"/>
                <w:bCs/>
              </w:rPr>
            </w:pPr>
            <w:r w:rsidRPr="00EF33A6">
              <w:rPr>
                <w:rFonts w:asciiTheme="minorHAnsi" w:hAnsiTheme="minorHAnsi" w:cstheme="minorHAnsi"/>
                <w:bCs/>
              </w:rPr>
              <w:t>#259</w:t>
            </w:r>
            <w:r w:rsidR="0076033F">
              <w:rPr>
                <w:rFonts w:asciiTheme="minorHAnsi" w:hAnsiTheme="minorHAnsi" w:cstheme="minorHAnsi"/>
                <w:bCs/>
              </w:rPr>
              <w:t>6</w:t>
            </w:r>
            <w:r w:rsidRPr="00EF33A6">
              <w:rPr>
                <w:rFonts w:asciiTheme="minorHAnsi" w:hAnsiTheme="minorHAnsi" w:cstheme="minorHAnsi"/>
                <w:bCs/>
              </w:rPr>
              <w:t xml:space="preserve">8 – By 31 March 2024, chief constables should make sure their officers are trained in the use of </w:t>
            </w:r>
            <w:proofErr w:type="gramStart"/>
            <w:r w:rsidRPr="00EF33A6">
              <w:rPr>
                <w:rFonts w:asciiTheme="minorHAnsi" w:hAnsiTheme="minorHAnsi" w:cstheme="minorHAnsi"/>
                <w:bCs/>
              </w:rPr>
              <w:t>Home</w:t>
            </w:r>
            <w:proofErr w:type="gramEnd"/>
            <w:r w:rsidRPr="00EF33A6">
              <w:rPr>
                <w:rFonts w:asciiTheme="minorHAnsi" w:hAnsiTheme="minorHAnsi" w:cstheme="minorHAnsi"/>
                <w:bCs/>
              </w:rPr>
              <w:t xml:space="preserve"> Office crime outcome 22. </w:t>
            </w:r>
          </w:p>
          <w:p w14:paraId="2F080B63" w14:textId="0ADF0CE2" w:rsidR="00EF33A6" w:rsidRDefault="00EF33A6" w:rsidP="00EF33A6">
            <w:pPr>
              <w:pStyle w:val="ListParagraph"/>
              <w:rPr>
                <w:rFonts w:asciiTheme="minorHAnsi" w:hAnsiTheme="minorHAnsi" w:cstheme="minorHAnsi"/>
                <w:bCs/>
              </w:rPr>
            </w:pPr>
            <w:r w:rsidRPr="00EF33A6">
              <w:rPr>
                <w:rFonts w:asciiTheme="minorHAnsi" w:hAnsiTheme="minorHAnsi" w:cstheme="minorHAnsi"/>
                <w:bCs/>
              </w:rPr>
              <w:t xml:space="preserve">The Home Office defines outcome 22 as when: “diversionary, educational or intervention activity, resulting from the crime report, has been undertaken and it is not in the </w:t>
            </w:r>
            <w:r w:rsidR="00EF7759" w:rsidRPr="00EF33A6">
              <w:rPr>
                <w:rFonts w:asciiTheme="minorHAnsi" w:hAnsiTheme="minorHAnsi" w:cstheme="minorHAnsi"/>
                <w:bCs/>
              </w:rPr>
              <w:t>public</w:t>
            </w:r>
            <w:r w:rsidRPr="00EF33A6">
              <w:rPr>
                <w:rFonts w:asciiTheme="minorHAnsi" w:hAnsiTheme="minorHAnsi" w:cstheme="minorHAnsi"/>
                <w:bCs/>
              </w:rPr>
              <w:t xml:space="preserve"> interest to take any further notes. </w:t>
            </w:r>
          </w:p>
          <w:p w14:paraId="62A996FA" w14:textId="77777777" w:rsidR="00EF33A6" w:rsidRDefault="00EF33A6" w:rsidP="00EF33A6">
            <w:pPr>
              <w:pStyle w:val="ListParagraph"/>
              <w:rPr>
                <w:rFonts w:asciiTheme="minorHAnsi" w:hAnsiTheme="minorHAnsi" w:cstheme="minorHAnsi"/>
                <w:bCs/>
              </w:rPr>
            </w:pPr>
          </w:p>
          <w:p w14:paraId="1F11CFA3" w14:textId="77777777" w:rsidR="00EF33A6" w:rsidRPr="00EF33A6" w:rsidRDefault="00EF33A6" w:rsidP="00EF33A6">
            <w:pPr>
              <w:pStyle w:val="ListParagraph"/>
              <w:numPr>
                <w:ilvl w:val="0"/>
                <w:numId w:val="10"/>
              </w:numPr>
              <w:rPr>
                <w:rFonts w:asciiTheme="minorHAnsi" w:hAnsiTheme="minorHAnsi" w:cstheme="minorHAnsi"/>
                <w:bCs/>
              </w:rPr>
            </w:pPr>
            <w:r w:rsidRPr="00EF33A6">
              <w:rPr>
                <w:rFonts w:asciiTheme="minorHAnsi" w:hAnsiTheme="minorHAnsi" w:cstheme="minorHAnsi"/>
                <w:bCs/>
              </w:rPr>
              <w:t>#26011 – By 31 March 2024, Chief Constables should make sure their forces, through data collection and analysis, understand the levels of racial disproportionality in serious youth violence in their force areas.</w:t>
            </w:r>
          </w:p>
          <w:p w14:paraId="70E76E02" w14:textId="353BC877" w:rsidR="00EF33A6" w:rsidRPr="00CC0B93" w:rsidRDefault="00EF33A6" w:rsidP="00EF33A6">
            <w:pPr>
              <w:pStyle w:val="ListParagraph"/>
              <w:shd w:val="clear" w:color="auto" w:fill="FFFFFF" w:themeFill="background1"/>
              <w:autoSpaceDE w:val="0"/>
              <w:autoSpaceDN w:val="0"/>
              <w:adjustRightInd w:val="0"/>
              <w:rPr>
                <w:rFonts w:ascii="Calibri" w:hAnsi="Calibri" w:cs="Calibri"/>
              </w:rPr>
            </w:pP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228ABB52" w14:textId="77777777" w:rsidR="009B7539" w:rsidRDefault="00CC0B93" w:rsidP="00701F97">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p>
          <w:p w14:paraId="3F2D0A1F" w14:textId="08654B51" w:rsidR="00701F97" w:rsidRDefault="00701F97" w:rsidP="00701F97">
            <w:pPr>
              <w:pStyle w:val="NormalWeb"/>
              <w:shd w:val="clear" w:color="auto" w:fill="FFFFFF"/>
              <w:spacing w:before="0" w:beforeAutospacing="0" w:after="0" w:afterAutospacing="0"/>
              <w:rPr>
                <w:rFonts w:asciiTheme="minorHAnsi" w:hAnsiTheme="minorHAnsi" w:cstheme="minorHAnsi"/>
                <w:sz w:val="22"/>
                <w:szCs w:val="22"/>
              </w:rPr>
            </w:pPr>
            <w:r w:rsidRPr="00200A8C">
              <w:rPr>
                <w:rFonts w:asciiTheme="minorHAnsi" w:hAnsiTheme="minorHAnsi" w:cstheme="minorHAnsi"/>
                <w:sz w:val="22"/>
                <w:szCs w:val="22"/>
              </w:rPr>
              <w:t>Cumbria’s Police</w:t>
            </w:r>
            <w:r w:rsidR="00CA2C68">
              <w:rPr>
                <w:rFonts w:asciiTheme="minorHAnsi" w:hAnsiTheme="minorHAnsi" w:cstheme="minorHAnsi"/>
                <w:sz w:val="22"/>
                <w:szCs w:val="22"/>
              </w:rPr>
              <w:t xml:space="preserve">, Fire </w:t>
            </w:r>
            <w:r w:rsidRPr="00200A8C">
              <w:rPr>
                <w:rFonts w:asciiTheme="minorHAnsi" w:hAnsiTheme="minorHAnsi" w:cstheme="minorHAnsi"/>
                <w:sz w:val="22"/>
                <w:szCs w:val="22"/>
              </w:rPr>
              <w:t>and Crime Commissioner has welcomed the inspection</w:t>
            </w:r>
            <w:r>
              <w:rPr>
                <w:rFonts w:asciiTheme="minorHAnsi" w:hAnsiTheme="minorHAnsi" w:cstheme="minorHAnsi"/>
                <w:sz w:val="22"/>
                <w:szCs w:val="22"/>
              </w:rPr>
              <w:t xml:space="preserve"> </w:t>
            </w:r>
            <w:r w:rsidRPr="00200A8C">
              <w:rPr>
                <w:rFonts w:asciiTheme="minorHAnsi" w:hAnsiTheme="minorHAnsi" w:cstheme="minorHAnsi"/>
                <w:sz w:val="22"/>
                <w:szCs w:val="22"/>
              </w:rPr>
              <w:t>by His Majesty’s Inspectorate of Constabulary and Fire and Rescue Service (HMICFRS)</w:t>
            </w:r>
            <w:r>
              <w:rPr>
                <w:rFonts w:asciiTheme="minorHAnsi" w:hAnsiTheme="minorHAnsi" w:cstheme="minorHAnsi"/>
                <w:sz w:val="22"/>
                <w:szCs w:val="22"/>
              </w:rPr>
              <w:t xml:space="preserve"> regarding how well the police tackle serious youth violence. </w:t>
            </w:r>
          </w:p>
          <w:p w14:paraId="5AD530B5" w14:textId="3FBA7D39" w:rsidR="00701F97" w:rsidRDefault="00701F97" w:rsidP="00701F97">
            <w:pPr>
              <w:pStyle w:val="NormalWeb"/>
              <w:shd w:val="clear" w:color="auto" w:fill="FFFFFF"/>
              <w:spacing w:before="0" w:beforeAutospacing="0" w:after="0" w:afterAutospacing="0"/>
              <w:rPr>
                <w:rFonts w:asciiTheme="minorHAnsi" w:hAnsiTheme="minorHAnsi" w:cstheme="minorHAnsi"/>
                <w:sz w:val="22"/>
                <w:szCs w:val="22"/>
              </w:rPr>
            </w:pPr>
          </w:p>
          <w:p w14:paraId="7062DC01" w14:textId="6A760A5C" w:rsidR="00701F97" w:rsidRDefault="00183E10" w:rsidP="00701F97">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“Within my Police and Crime Plan, a focus on crime and the causes of crime as well as preventing offending and reducing reoffending</w:t>
            </w:r>
            <w:r w:rsidR="00CD2A07">
              <w:rPr>
                <w:rFonts w:asciiTheme="minorHAnsi" w:hAnsiTheme="minorHAnsi" w:cstheme="minorHAnsi"/>
                <w:sz w:val="22"/>
                <w:szCs w:val="22"/>
              </w:rPr>
              <w:t xml:space="preserve"> are priorities. </w:t>
            </w:r>
            <w:r w:rsidR="00345999">
              <w:rPr>
                <w:rFonts w:asciiTheme="minorHAnsi" w:hAnsiTheme="minorHAnsi" w:cstheme="minorHAnsi"/>
                <w:sz w:val="22"/>
                <w:szCs w:val="22"/>
              </w:rPr>
              <w:t>Building an understanding as to what causes yo</w:t>
            </w:r>
            <w:r w:rsidR="00823DC6">
              <w:rPr>
                <w:rFonts w:asciiTheme="minorHAnsi" w:hAnsiTheme="minorHAnsi" w:cstheme="minorHAnsi"/>
                <w:sz w:val="22"/>
                <w:szCs w:val="22"/>
              </w:rPr>
              <w:t>ung people</w:t>
            </w:r>
            <w:r w:rsidR="00345999">
              <w:rPr>
                <w:rFonts w:asciiTheme="minorHAnsi" w:hAnsiTheme="minorHAnsi" w:cstheme="minorHAnsi"/>
                <w:sz w:val="22"/>
                <w:szCs w:val="22"/>
              </w:rPr>
              <w:t xml:space="preserve"> to commit violent acts and establishing early interventions is a</w:t>
            </w:r>
            <w:r w:rsidR="00EF7759">
              <w:rPr>
                <w:rFonts w:asciiTheme="minorHAnsi" w:hAnsiTheme="minorHAnsi" w:cstheme="minorHAnsi"/>
                <w:sz w:val="22"/>
                <w:szCs w:val="22"/>
              </w:rPr>
              <w:t xml:space="preserve"> part of how I am seeking to address this</w:t>
            </w:r>
            <w:r w:rsidR="00345999">
              <w:rPr>
                <w:rFonts w:asciiTheme="minorHAnsi" w:hAnsiTheme="minorHAnsi" w:cstheme="minorHAnsi"/>
                <w:sz w:val="22"/>
                <w:szCs w:val="22"/>
              </w:rPr>
              <w:t xml:space="preserve">. </w:t>
            </w:r>
            <w:r w:rsidR="007228F4">
              <w:rPr>
                <w:rFonts w:asciiTheme="minorHAnsi" w:hAnsiTheme="minorHAnsi" w:cstheme="minorHAnsi"/>
                <w:sz w:val="22"/>
                <w:szCs w:val="22"/>
              </w:rPr>
              <w:t>Therefore,</w:t>
            </w:r>
            <w:r w:rsidR="00823DC6">
              <w:rPr>
                <w:rFonts w:asciiTheme="minorHAnsi" w:hAnsiTheme="minorHAnsi" w:cstheme="minorHAnsi"/>
                <w:sz w:val="22"/>
                <w:szCs w:val="22"/>
              </w:rPr>
              <w:t xml:space="preserve"> I support activities and community groups which help to </w:t>
            </w:r>
            <w:r w:rsidR="00823DC6">
              <w:rPr>
                <w:rFonts w:asciiTheme="minorHAnsi" w:hAnsiTheme="minorHAnsi" w:cstheme="minorHAnsi"/>
                <w:sz w:val="22"/>
                <w:szCs w:val="22"/>
              </w:rPr>
              <w:lastRenderedPageBreak/>
              <w:t xml:space="preserve">provide </w:t>
            </w:r>
            <w:r w:rsidR="007228F4">
              <w:rPr>
                <w:rFonts w:asciiTheme="minorHAnsi" w:hAnsiTheme="minorHAnsi" w:cstheme="minorHAnsi"/>
                <w:sz w:val="22"/>
                <w:szCs w:val="22"/>
              </w:rPr>
              <w:t xml:space="preserve">positive opportunities to young people in their areas, as well as developing interventions aimed at encouraging a change in behaviour for young people who have committed a crime/anti-social behaviour.” </w:t>
            </w:r>
          </w:p>
          <w:p w14:paraId="18BF8903" w14:textId="06F7FD1A" w:rsidR="007228F4" w:rsidRDefault="007228F4" w:rsidP="00701F97">
            <w:pPr>
              <w:pStyle w:val="NormalWeb"/>
              <w:shd w:val="clear" w:color="auto" w:fill="FFFFFF"/>
              <w:spacing w:before="0" w:beforeAutospacing="0" w:after="0" w:afterAutospacing="0"/>
              <w:rPr>
                <w:rFonts w:asciiTheme="minorHAnsi" w:hAnsiTheme="minorHAnsi" w:cstheme="minorHAnsi"/>
                <w:sz w:val="22"/>
                <w:szCs w:val="22"/>
              </w:rPr>
            </w:pPr>
          </w:p>
          <w:p w14:paraId="5B58F5F2" w14:textId="75E95A07" w:rsidR="009610C0" w:rsidRDefault="007228F4" w:rsidP="009610C0">
            <w:pPr>
              <w:spacing w:line="259" w:lineRule="auto"/>
              <w:rPr>
                <w:rFonts w:cstheme="minorHAnsi"/>
              </w:rPr>
            </w:pPr>
            <w:r>
              <w:rPr>
                <w:rFonts w:cstheme="minorHAnsi"/>
              </w:rPr>
              <w:t>My office con</w:t>
            </w:r>
            <w:r w:rsidR="0051199F">
              <w:rPr>
                <w:rFonts w:cstheme="minorHAnsi"/>
              </w:rPr>
              <w:t>tinues to</w:t>
            </w:r>
            <w:r>
              <w:rPr>
                <w:rFonts w:cstheme="minorHAnsi"/>
              </w:rPr>
              <w:t xml:space="preserve"> research</w:t>
            </w:r>
            <w:r w:rsidR="0051199F">
              <w:rPr>
                <w:rFonts w:cstheme="minorHAnsi"/>
              </w:rPr>
              <w:t xml:space="preserve"> and support initiatives for young people. I</w:t>
            </w:r>
            <w:r w:rsidR="00E8329A">
              <w:rPr>
                <w:rFonts w:cstheme="minorHAnsi"/>
              </w:rPr>
              <w:t>nformation was gathered via ‘</w:t>
            </w:r>
            <w:r w:rsidR="00E8329A">
              <w:t>The Young Person</w:t>
            </w:r>
            <w:r w:rsidR="00EF7759">
              <w:t>’</w:t>
            </w:r>
            <w:r w:rsidR="00E8329A">
              <w:t>s Serious Violence Survey</w:t>
            </w:r>
            <w:r w:rsidR="00CD5481">
              <w:t>’ (</w:t>
            </w:r>
            <w:r w:rsidR="009610C0">
              <w:t>as part of the Serious Violence Needs Assessment)</w:t>
            </w:r>
            <w:r w:rsidR="0051199F">
              <w:t xml:space="preserve"> where </w:t>
            </w:r>
            <w:r w:rsidR="00E8329A">
              <w:t>attitudes towards/ perception of violence/harassment and exposure to serious violence</w:t>
            </w:r>
            <w:r w:rsidR="0051199F">
              <w:t xml:space="preserve"> were covered</w:t>
            </w:r>
            <w:r w:rsidR="00E8329A">
              <w:t xml:space="preserve">. </w:t>
            </w:r>
            <w:r w:rsidR="00916CCA">
              <w:t xml:space="preserve">The survey revealed that young people in our hotspot areas </w:t>
            </w:r>
            <w:r w:rsidR="0051199F">
              <w:t xml:space="preserve">(Barrow/Carlisle) </w:t>
            </w:r>
            <w:r w:rsidR="00916CCA">
              <w:t xml:space="preserve">had witnessed, been </w:t>
            </w:r>
            <w:r w:rsidR="009610C0">
              <w:t>involved,</w:t>
            </w:r>
            <w:r w:rsidR="00916CCA">
              <w:t xml:space="preserve"> or knew someone involved in drug dealing, drug abuse and violence.</w:t>
            </w:r>
            <w:r w:rsidR="0051199F">
              <w:t xml:space="preserve"> </w:t>
            </w:r>
            <w:r w:rsidR="0051199F">
              <w:rPr>
                <w:rFonts w:cstheme="minorHAnsi"/>
              </w:rPr>
              <w:t>This research will inform our work with commissioning and support agencies to develop the pathway of services available for young people across the county.</w:t>
            </w:r>
          </w:p>
          <w:p w14:paraId="0DA201D7" w14:textId="1B2D4AAF" w:rsidR="00BA735C" w:rsidRDefault="00BA735C" w:rsidP="009610C0">
            <w:pPr>
              <w:spacing w:line="259" w:lineRule="auto"/>
              <w:rPr>
                <w:rFonts w:cstheme="minorHAnsi"/>
              </w:rPr>
            </w:pPr>
          </w:p>
          <w:p w14:paraId="3396CA2E" w14:textId="3A87008A" w:rsidR="00BA735C" w:rsidRDefault="00BA735C" w:rsidP="009610C0">
            <w:pPr>
              <w:spacing w:line="259" w:lineRule="auto"/>
              <w:rPr>
                <w:rFonts w:cstheme="minorHAnsi"/>
              </w:rPr>
            </w:pPr>
            <w:r>
              <w:rPr>
                <w:rFonts w:cstheme="minorHAnsi"/>
              </w:rPr>
              <w:t xml:space="preserve">“Further to this, </w:t>
            </w:r>
            <w:r>
              <w:t>I have</w:t>
            </w:r>
            <w:r w:rsidR="00A27C16">
              <w:t xml:space="preserve"> recently</w:t>
            </w:r>
            <w:r>
              <w:t xml:space="preserve"> hosted an event, as Chair of Safer Cumbria, bringing together partner agencies to develop our understanding of the causes of serious violence in the county, including the risks around young people and look</w:t>
            </w:r>
            <w:r w:rsidR="00A27C16">
              <w:t xml:space="preserve">ing </w:t>
            </w:r>
            <w:r>
              <w:t xml:space="preserve">at what more we can do to address this.” </w:t>
            </w:r>
          </w:p>
          <w:p w14:paraId="4054E79C" w14:textId="77777777" w:rsidR="009610C0" w:rsidRDefault="009610C0" w:rsidP="009610C0">
            <w:pPr>
              <w:spacing w:line="259" w:lineRule="auto"/>
              <w:rPr>
                <w:rFonts w:cstheme="minorHAnsi"/>
              </w:rPr>
            </w:pPr>
          </w:p>
          <w:p w14:paraId="31FD4CC7" w14:textId="5036E7C9" w:rsidR="00CD5481" w:rsidRDefault="009610C0" w:rsidP="009610C0">
            <w:pPr>
              <w:spacing w:line="259" w:lineRule="auto"/>
              <w:rPr>
                <w:rFonts w:cstheme="minorHAnsi"/>
              </w:rPr>
            </w:pPr>
            <w:r>
              <w:rPr>
                <w:rFonts w:cstheme="minorHAnsi"/>
              </w:rPr>
              <w:t xml:space="preserve">“What is clear is that ex-offenders point towards decisions they made in their youth as to why their actions started to escalate. As such, in my </w:t>
            </w:r>
            <w:r w:rsidR="007A0223">
              <w:rPr>
                <w:rFonts w:cstheme="minorHAnsi"/>
              </w:rPr>
              <w:t>o</w:t>
            </w:r>
            <w:r>
              <w:rPr>
                <w:rFonts w:cstheme="minorHAnsi"/>
              </w:rPr>
              <w:t xml:space="preserve">ffice </w:t>
            </w:r>
            <w:r w:rsidR="00753969">
              <w:rPr>
                <w:rFonts w:cstheme="minorHAnsi"/>
              </w:rPr>
              <w:t xml:space="preserve">we </w:t>
            </w:r>
            <w:r w:rsidR="00B73DFF">
              <w:rPr>
                <w:rFonts w:cstheme="minorHAnsi"/>
              </w:rPr>
              <w:t xml:space="preserve">commission </w:t>
            </w:r>
            <w:r>
              <w:rPr>
                <w:rFonts w:cstheme="minorHAnsi"/>
              </w:rPr>
              <w:t>several</w:t>
            </w:r>
            <w:r w:rsidR="00753969">
              <w:rPr>
                <w:rFonts w:cstheme="minorHAnsi"/>
              </w:rPr>
              <w:t xml:space="preserve"> early intervention services available for young people, such as Step Up, PAKMAN, RISE</w:t>
            </w:r>
            <w:r>
              <w:rPr>
                <w:rFonts w:cstheme="minorHAnsi"/>
              </w:rPr>
              <w:t>, and Your Life You Choose</w:t>
            </w:r>
            <w:r w:rsidR="00CD5481">
              <w:rPr>
                <w:rFonts w:cstheme="minorHAnsi"/>
              </w:rPr>
              <w:t xml:space="preserve"> to help young people stay away from further escalation in criminal acts</w:t>
            </w:r>
            <w:r>
              <w:rPr>
                <w:rFonts w:cstheme="minorHAnsi"/>
              </w:rPr>
              <w:t xml:space="preserve">. We also have the Property Fund, which allows local organisations/charities to apply for funding (up to £2500) for initiatives </w:t>
            </w:r>
            <w:r w:rsidR="00EF7759">
              <w:rPr>
                <w:rFonts w:cstheme="minorHAnsi"/>
              </w:rPr>
              <w:t>which support the objectives of</w:t>
            </w:r>
            <w:r>
              <w:rPr>
                <w:rFonts w:cstheme="minorHAnsi"/>
              </w:rPr>
              <w:t xml:space="preserve"> the Police and Crime Plan – such as </w:t>
            </w:r>
            <w:r w:rsidR="00EF7759">
              <w:rPr>
                <w:rFonts w:cstheme="minorHAnsi"/>
              </w:rPr>
              <w:t>addressing serious</w:t>
            </w:r>
            <w:r>
              <w:rPr>
                <w:rFonts w:cstheme="minorHAnsi"/>
              </w:rPr>
              <w:t xml:space="preserve"> violence and anti-social behaviour.</w:t>
            </w:r>
            <w:r w:rsidR="00CD5481">
              <w:rPr>
                <w:rFonts w:cstheme="minorHAnsi"/>
              </w:rPr>
              <w:t>”</w:t>
            </w:r>
          </w:p>
          <w:p w14:paraId="43E3545A" w14:textId="35AE9BE1" w:rsidR="00CD5481" w:rsidRDefault="00CD5481" w:rsidP="009610C0">
            <w:pPr>
              <w:spacing w:line="259" w:lineRule="auto"/>
              <w:rPr>
                <w:rFonts w:cstheme="minorHAnsi"/>
              </w:rPr>
            </w:pPr>
          </w:p>
          <w:p w14:paraId="423DF0CC" w14:textId="590533AB" w:rsidR="00916CCA" w:rsidRPr="00E07C79" w:rsidRDefault="00CD5481" w:rsidP="009610C0">
            <w:pPr>
              <w:rPr>
                <w:rFonts w:cstheme="minorHAnsi"/>
              </w:rPr>
            </w:pPr>
            <w:r w:rsidRPr="00E07C79">
              <w:rPr>
                <w:rFonts w:cstheme="minorHAnsi"/>
              </w:rPr>
              <w:t>“</w:t>
            </w:r>
            <w:r w:rsidR="00B73DFF" w:rsidRPr="00E07C79">
              <w:rPr>
                <w:rFonts w:cstheme="minorHAnsi"/>
              </w:rPr>
              <w:t>T</w:t>
            </w:r>
            <w:r w:rsidR="005C061C" w:rsidRPr="00E07C79">
              <w:rPr>
                <w:rFonts w:cstheme="minorHAnsi"/>
              </w:rPr>
              <w:t xml:space="preserve">he </w:t>
            </w:r>
            <w:r w:rsidR="00DC3835">
              <w:rPr>
                <w:rFonts w:cstheme="minorHAnsi"/>
              </w:rPr>
              <w:t>C</w:t>
            </w:r>
            <w:r w:rsidR="005C061C" w:rsidRPr="00E07C79">
              <w:rPr>
                <w:rFonts w:cstheme="minorHAnsi"/>
              </w:rPr>
              <w:t xml:space="preserve">onstabulary </w:t>
            </w:r>
            <w:r w:rsidR="005B4061" w:rsidRPr="00E07C79">
              <w:t>is already in a favourable position in relation to the recommendations made – and welcome these as national requirements which will further support existing, progressing and to-be progressed work streams</w:t>
            </w:r>
            <w:r w:rsidR="005C061C" w:rsidRPr="00E07C79">
              <w:t>.”</w:t>
            </w:r>
          </w:p>
          <w:p w14:paraId="77458196" w14:textId="408959DE" w:rsidR="005C061C" w:rsidRPr="00E07C79" w:rsidRDefault="005C061C" w:rsidP="009610C0"/>
          <w:p w14:paraId="7C85921D" w14:textId="4AF96845" w:rsidR="005C061C" w:rsidRPr="00E07C79" w:rsidRDefault="00C64D6B" w:rsidP="005C061C">
            <w:r w:rsidRPr="00E07C79">
              <w:t>“</w:t>
            </w:r>
            <w:r w:rsidR="005C061C" w:rsidRPr="00E07C79">
              <w:t xml:space="preserve">Regarding recommendation 1 - the Constabulary have an established and embedded process for alternate outcomes where an intervention or diversionary experience would be advantageous to the case, which does consequently ensure some offenders are not drawn into the criminal system but instead are offered the opportunities to amend their behaviour and cease unacceptable elements to improve the livelihoods of themselves and victims who they otherwise </w:t>
            </w:r>
            <w:r w:rsidRPr="00E07C79">
              <w:t xml:space="preserve">would </w:t>
            </w:r>
            <w:r w:rsidR="005C061C" w:rsidRPr="00E07C79">
              <w:t>have affected.</w:t>
            </w:r>
            <w:r w:rsidRPr="00E07C79">
              <w:t>”</w:t>
            </w:r>
          </w:p>
          <w:p w14:paraId="5D220BF0" w14:textId="77777777" w:rsidR="00FB497F" w:rsidRPr="00E07C79" w:rsidRDefault="00FB497F" w:rsidP="005C061C"/>
          <w:p w14:paraId="2B4360A4" w14:textId="67F534C4" w:rsidR="005C061C" w:rsidRDefault="00C64D6B" w:rsidP="005C061C">
            <w:r w:rsidRPr="00E07C79">
              <w:t>“</w:t>
            </w:r>
            <w:r w:rsidR="005C061C" w:rsidRPr="00E07C79">
              <w:t xml:space="preserve">Regarding recommendation 2 – our awareness of the potential for disproportionality in any element of business ensures that such information, </w:t>
            </w:r>
            <w:r w:rsidR="0080165B" w:rsidRPr="00E07C79">
              <w:t>data,</w:t>
            </w:r>
            <w:r w:rsidR="005C061C" w:rsidRPr="00E07C79">
              <w:t xml:space="preserve"> and analysis is observed, collated, </w:t>
            </w:r>
            <w:proofErr w:type="gramStart"/>
            <w:r w:rsidR="005C061C" w:rsidRPr="00E07C79">
              <w:t>undertaken</w:t>
            </w:r>
            <w:proofErr w:type="gramEnd"/>
            <w:r w:rsidR="005C061C" w:rsidRPr="00E07C79">
              <w:t xml:space="preserve"> and understood – to inform decisions and practices within the Constabulary. Already in existence are strategic governance processes and forums focussing upon related themes.</w:t>
            </w:r>
            <w:r w:rsidRPr="00E07C79">
              <w:t>”</w:t>
            </w:r>
          </w:p>
          <w:p w14:paraId="70497595" w14:textId="77777777" w:rsidR="005C061C" w:rsidRDefault="005C061C" w:rsidP="009610C0"/>
          <w:p w14:paraId="58FD48CC" w14:textId="5D4B979A" w:rsidR="00E8329A" w:rsidRDefault="00E8329A" w:rsidP="00E8329A"/>
          <w:p w14:paraId="379B7394" w14:textId="07DE9B38" w:rsidR="00B50B24" w:rsidRDefault="00B50B24" w:rsidP="007228F4">
            <w:pPr>
              <w:spacing w:after="160" w:line="259" w:lineRule="auto"/>
              <w:rPr>
                <w:rFonts w:cstheme="minorHAnsi"/>
              </w:rPr>
            </w:pPr>
          </w:p>
          <w:p w14:paraId="1EF34B58" w14:textId="6DC242B8" w:rsidR="008E04D2" w:rsidRDefault="008E04D2" w:rsidP="008E04D2">
            <w:pPr>
              <w:rPr>
                <w:rFonts w:ascii="Calibri" w:hAnsi="Calibri" w:cs="Calibri"/>
              </w:rPr>
            </w:pPr>
          </w:p>
          <w:p w14:paraId="46EE998E" w14:textId="769E28BC" w:rsidR="00770558" w:rsidRDefault="00770558" w:rsidP="00770558"/>
          <w:p w14:paraId="54F39893" w14:textId="32F06AD9" w:rsidR="00823DC6" w:rsidRDefault="00823DC6" w:rsidP="00701F97">
            <w:pPr>
              <w:pStyle w:val="NormalWeb"/>
              <w:shd w:val="clear" w:color="auto" w:fill="FFFFFF"/>
              <w:spacing w:before="0" w:beforeAutospacing="0" w:after="0" w:afterAutospacing="0"/>
              <w:rPr>
                <w:rFonts w:asciiTheme="minorHAnsi" w:hAnsiTheme="minorHAnsi" w:cstheme="minorHAnsi"/>
                <w:sz w:val="22"/>
                <w:szCs w:val="22"/>
              </w:rPr>
            </w:pPr>
          </w:p>
          <w:p w14:paraId="1529A224" w14:textId="77777777" w:rsidR="00823DC6" w:rsidRDefault="00823DC6" w:rsidP="00701F97">
            <w:pPr>
              <w:pStyle w:val="NormalWeb"/>
              <w:shd w:val="clear" w:color="auto" w:fill="FFFFFF"/>
              <w:spacing w:before="0" w:beforeAutospacing="0" w:after="0" w:afterAutospacing="0"/>
              <w:rPr>
                <w:rFonts w:asciiTheme="minorHAnsi" w:hAnsiTheme="minorHAnsi" w:cstheme="minorHAnsi"/>
                <w:sz w:val="22"/>
                <w:szCs w:val="22"/>
              </w:rPr>
            </w:pPr>
          </w:p>
          <w:p w14:paraId="1D7BF24D" w14:textId="77777777" w:rsidR="00345999" w:rsidRDefault="00345999" w:rsidP="00701F97">
            <w:pPr>
              <w:pStyle w:val="NormalWeb"/>
              <w:shd w:val="clear" w:color="auto" w:fill="FFFFFF"/>
              <w:spacing w:before="0" w:beforeAutospacing="0" w:after="0" w:afterAutospacing="0"/>
              <w:rPr>
                <w:rFonts w:asciiTheme="minorHAnsi" w:hAnsiTheme="minorHAnsi" w:cstheme="minorHAnsi"/>
                <w:sz w:val="22"/>
                <w:szCs w:val="22"/>
              </w:rPr>
            </w:pPr>
          </w:p>
          <w:p w14:paraId="01566957" w14:textId="6055305B" w:rsidR="00701F97" w:rsidRPr="00FE2721" w:rsidRDefault="00701F97" w:rsidP="00701F97">
            <w:pPr>
              <w:pStyle w:val="NormalWeb"/>
              <w:shd w:val="clear" w:color="auto" w:fill="FFFFFF"/>
              <w:spacing w:before="0" w:beforeAutospacing="0" w:after="0" w:afterAutospacing="0"/>
              <w:rPr>
                <w:rFonts w:cstheme="minorHAnsi"/>
              </w:rPr>
            </w:pPr>
          </w:p>
        </w:tc>
      </w:tr>
    </w:tbl>
    <w:p w14:paraId="54F0B629" w14:textId="61EED869" w:rsidR="00345CA9" w:rsidRPr="005551FE" w:rsidRDefault="00345CA9">
      <w:pPr>
        <w:rPr>
          <w:b/>
          <w:color w:val="5B9BD5" w:themeColor="accent5"/>
          <w:sz w:val="24"/>
          <w:szCs w:val="24"/>
        </w:rPr>
      </w:pPr>
    </w:p>
    <w:sectPr w:rsidR="00345CA9"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D3641"/>
    <w:multiLevelType w:val="hybridMultilevel"/>
    <w:tmpl w:val="13D8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AC5E9C"/>
    <w:multiLevelType w:val="hybridMultilevel"/>
    <w:tmpl w:val="F6BC3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891176">
    <w:abstractNumId w:val="9"/>
  </w:num>
  <w:num w:numId="2" w16cid:durableId="1584870221">
    <w:abstractNumId w:val="6"/>
  </w:num>
  <w:num w:numId="3" w16cid:durableId="456606740">
    <w:abstractNumId w:val="0"/>
  </w:num>
  <w:num w:numId="4" w16cid:durableId="115419193">
    <w:abstractNumId w:val="4"/>
  </w:num>
  <w:num w:numId="5" w16cid:durableId="250238910">
    <w:abstractNumId w:val="11"/>
  </w:num>
  <w:num w:numId="6" w16cid:durableId="1473133246">
    <w:abstractNumId w:val="3"/>
  </w:num>
  <w:num w:numId="7" w16cid:durableId="1766074790">
    <w:abstractNumId w:val="2"/>
  </w:num>
  <w:num w:numId="8" w16cid:durableId="18706541">
    <w:abstractNumId w:val="7"/>
  </w:num>
  <w:num w:numId="9" w16cid:durableId="1742674794">
    <w:abstractNumId w:val="5"/>
  </w:num>
  <w:num w:numId="10" w16cid:durableId="131600360">
    <w:abstractNumId w:val="8"/>
  </w:num>
  <w:num w:numId="11" w16cid:durableId="62990842">
    <w:abstractNumId w:val="10"/>
  </w:num>
  <w:num w:numId="12" w16cid:durableId="1476920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6707B"/>
    <w:rsid w:val="00104F3C"/>
    <w:rsid w:val="00112288"/>
    <w:rsid w:val="001342C3"/>
    <w:rsid w:val="00183E10"/>
    <w:rsid w:val="00207864"/>
    <w:rsid w:val="0023509A"/>
    <w:rsid w:val="0032476B"/>
    <w:rsid w:val="00345999"/>
    <w:rsid w:val="00345CA9"/>
    <w:rsid w:val="00385129"/>
    <w:rsid w:val="0039658F"/>
    <w:rsid w:val="003A704D"/>
    <w:rsid w:val="003B3BD5"/>
    <w:rsid w:val="003B5BEF"/>
    <w:rsid w:val="003E43DE"/>
    <w:rsid w:val="004479C3"/>
    <w:rsid w:val="004961B2"/>
    <w:rsid w:val="004D4E10"/>
    <w:rsid w:val="0051199F"/>
    <w:rsid w:val="005551FE"/>
    <w:rsid w:val="00565793"/>
    <w:rsid w:val="005B4061"/>
    <w:rsid w:val="005C061C"/>
    <w:rsid w:val="0066113B"/>
    <w:rsid w:val="006C26C7"/>
    <w:rsid w:val="006C2745"/>
    <w:rsid w:val="006F130E"/>
    <w:rsid w:val="00701F97"/>
    <w:rsid w:val="007228F4"/>
    <w:rsid w:val="00753969"/>
    <w:rsid w:val="0076033F"/>
    <w:rsid w:val="00770558"/>
    <w:rsid w:val="0079152F"/>
    <w:rsid w:val="007A0223"/>
    <w:rsid w:val="007B38E1"/>
    <w:rsid w:val="0080165B"/>
    <w:rsid w:val="00823DC6"/>
    <w:rsid w:val="008251DE"/>
    <w:rsid w:val="008A2A5F"/>
    <w:rsid w:val="008E04D2"/>
    <w:rsid w:val="008F4E3D"/>
    <w:rsid w:val="00903886"/>
    <w:rsid w:val="00916CCA"/>
    <w:rsid w:val="00931E2D"/>
    <w:rsid w:val="00960AEE"/>
    <w:rsid w:val="009610C0"/>
    <w:rsid w:val="009618AE"/>
    <w:rsid w:val="00991537"/>
    <w:rsid w:val="009B7539"/>
    <w:rsid w:val="009E35A0"/>
    <w:rsid w:val="009E5C4D"/>
    <w:rsid w:val="00A27C16"/>
    <w:rsid w:val="00A31E30"/>
    <w:rsid w:val="00A7379E"/>
    <w:rsid w:val="00AD5320"/>
    <w:rsid w:val="00AF6BE6"/>
    <w:rsid w:val="00B50B24"/>
    <w:rsid w:val="00B55EEE"/>
    <w:rsid w:val="00B73DFF"/>
    <w:rsid w:val="00BA735C"/>
    <w:rsid w:val="00C64D6B"/>
    <w:rsid w:val="00CA2C68"/>
    <w:rsid w:val="00CB6E90"/>
    <w:rsid w:val="00CC0B93"/>
    <w:rsid w:val="00CD2A07"/>
    <w:rsid w:val="00CD5481"/>
    <w:rsid w:val="00D27E47"/>
    <w:rsid w:val="00D42005"/>
    <w:rsid w:val="00D42640"/>
    <w:rsid w:val="00D50AB5"/>
    <w:rsid w:val="00D610B2"/>
    <w:rsid w:val="00DC3835"/>
    <w:rsid w:val="00E006DE"/>
    <w:rsid w:val="00E07C79"/>
    <w:rsid w:val="00E26599"/>
    <w:rsid w:val="00E8329A"/>
    <w:rsid w:val="00EC0349"/>
    <w:rsid w:val="00EE75C8"/>
    <w:rsid w:val="00EF33A6"/>
    <w:rsid w:val="00EF7759"/>
    <w:rsid w:val="00F26796"/>
    <w:rsid w:val="00F70C5F"/>
    <w:rsid w:val="00F76BBB"/>
    <w:rsid w:val="00F81B0B"/>
    <w:rsid w:val="00FB497F"/>
    <w:rsid w:val="00FC4916"/>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paragraph" w:styleId="Heading2">
    <w:name w:val="heading 2"/>
    <w:basedOn w:val="Normal"/>
    <w:link w:val="Heading2Char"/>
    <w:uiPriority w:val="9"/>
    <w:qFormat/>
    <w:rsid w:val="00EF33A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F33A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customStyle="1" w:styleId="Heading2Char">
    <w:name w:val="Heading 2 Char"/>
    <w:basedOn w:val="DefaultParagraphFont"/>
    <w:link w:val="Heading2"/>
    <w:uiPriority w:val="9"/>
    <w:rsid w:val="00EF33A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F33A6"/>
    <w:rPr>
      <w:rFonts w:ascii="Times New Roman" w:eastAsia="Times New Roman" w:hAnsi="Times New Roman" w:cs="Times New Roman"/>
      <w:b/>
      <w:bCs/>
      <w:sz w:val="27"/>
      <w:szCs w:val="27"/>
      <w:lang w:eastAsia="en-GB"/>
    </w:rPr>
  </w:style>
  <w:style w:type="character" w:customStyle="1" w:styleId="position">
    <w:name w:val="position"/>
    <w:basedOn w:val="DefaultParagraphFont"/>
    <w:rsid w:val="00EF33A6"/>
  </w:style>
  <w:style w:type="character" w:styleId="FollowedHyperlink">
    <w:name w:val="FollowedHyperlink"/>
    <w:basedOn w:val="DefaultParagraphFont"/>
    <w:uiPriority w:val="99"/>
    <w:semiHidden/>
    <w:unhideWhenUsed/>
    <w:rsid w:val="005C06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47005">
      <w:bodyDiv w:val="1"/>
      <w:marLeft w:val="0"/>
      <w:marRight w:val="0"/>
      <w:marTop w:val="0"/>
      <w:marBottom w:val="0"/>
      <w:divBdr>
        <w:top w:val="none" w:sz="0" w:space="0" w:color="auto"/>
        <w:left w:val="none" w:sz="0" w:space="0" w:color="auto"/>
        <w:bottom w:val="none" w:sz="0" w:space="0" w:color="auto"/>
        <w:right w:val="none" w:sz="0" w:space="0" w:color="auto"/>
      </w:divBdr>
      <w:divsChild>
        <w:div w:id="1479347565">
          <w:marLeft w:val="0"/>
          <w:marRight w:val="0"/>
          <w:marTop w:val="0"/>
          <w:marBottom w:val="450"/>
          <w:divBdr>
            <w:top w:val="none" w:sz="0" w:space="0" w:color="auto"/>
            <w:left w:val="none" w:sz="0" w:space="0" w:color="auto"/>
            <w:bottom w:val="none" w:sz="0" w:space="0" w:color="auto"/>
            <w:right w:val="none" w:sz="0" w:space="0" w:color="auto"/>
          </w:divBdr>
          <w:divsChild>
            <w:div w:id="847863622">
              <w:marLeft w:val="0"/>
              <w:marRight w:val="0"/>
              <w:marTop w:val="0"/>
              <w:marBottom w:val="300"/>
              <w:divBdr>
                <w:top w:val="none" w:sz="0" w:space="0" w:color="auto"/>
                <w:left w:val="none" w:sz="0" w:space="0" w:color="auto"/>
                <w:bottom w:val="none" w:sz="0" w:space="0" w:color="auto"/>
                <w:right w:val="none" w:sz="0" w:space="0" w:color="auto"/>
              </w:divBdr>
            </w:div>
            <w:div w:id="515460744">
              <w:marLeft w:val="0"/>
              <w:marRight w:val="0"/>
              <w:marTop w:val="0"/>
              <w:marBottom w:val="0"/>
              <w:divBdr>
                <w:top w:val="none" w:sz="0" w:space="0" w:color="auto"/>
                <w:left w:val="none" w:sz="0" w:space="0" w:color="auto"/>
                <w:bottom w:val="none" w:sz="0" w:space="0" w:color="auto"/>
                <w:right w:val="none" w:sz="0" w:space="0" w:color="auto"/>
              </w:divBdr>
              <w:divsChild>
                <w:div w:id="6813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09238">
      <w:bodyDiv w:val="1"/>
      <w:marLeft w:val="0"/>
      <w:marRight w:val="0"/>
      <w:marTop w:val="0"/>
      <w:marBottom w:val="0"/>
      <w:divBdr>
        <w:top w:val="none" w:sz="0" w:space="0" w:color="auto"/>
        <w:left w:val="none" w:sz="0" w:space="0" w:color="auto"/>
        <w:bottom w:val="none" w:sz="0" w:space="0" w:color="auto"/>
        <w:right w:val="none" w:sz="0" w:space="0" w:color="auto"/>
      </w:divBdr>
    </w:div>
    <w:div w:id="928200044">
      <w:bodyDiv w:val="1"/>
      <w:marLeft w:val="0"/>
      <w:marRight w:val="0"/>
      <w:marTop w:val="0"/>
      <w:marBottom w:val="0"/>
      <w:divBdr>
        <w:top w:val="none" w:sz="0" w:space="0" w:color="auto"/>
        <w:left w:val="none" w:sz="0" w:space="0" w:color="auto"/>
        <w:bottom w:val="none" w:sz="0" w:space="0" w:color="auto"/>
        <w:right w:val="none" w:sz="0" w:space="0" w:color="auto"/>
      </w:divBdr>
    </w:div>
    <w:div w:id="1195188533">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 w:id="1379620359">
      <w:bodyDiv w:val="1"/>
      <w:marLeft w:val="0"/>
      <w:marRight w:val="0"/>
      <w:marTop w:val="0"/>
      <w:marBottom w:val="0"/>
      <w:divBdr>
        <w:top w:val="none" w:sz="0" w:space="0" w:color="auto"/>
        <w:left w:val="none" w:sz="0" w:space="0" w:color="auto"/>
        <w:bottom w:val="none" w:sz="0" w:space="0" w:color="auto"/>
        <w:right w:val="none" w:sz="0" w:space="0" w:color="auto"/>
      </w:divBdr>
    </w:div>
    <w:div w:id="2053455262">
      <w:bodyDiv w:val="1"/>
      <w:marLeft w:val="0"/>
      <w:marRight w:val="0"/>
      <w:marTop w:val="0"/>
      <w:marBottom w:val="0"/>
      <w:divBdr>
        <w:top w:val="none" w:sz="0" w:space="0" w:color="auto"/>
        <w:left w:val="none" w:sz="0" w:space="0" w:color="auto"/>
        <w:bottom w:val="none" w:sz="0" w:space="0" w:color="auto"/>
        <w:right w:val="none" w:sz="0" w:space="0" w:color="auto"/>
      </w:divBdr>
    </w:div>
    <w:div w:id="209381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Abram, Peter</cp:lastModifiedBy>
  <cp:revision>15</cp:revision>
  <dcterms:created xsi:type="dcterms:W3CDTF">2023-03-20T15:32:00Z</dcterms:created>
  <dcterms:modified xsi:type="dcterms:W3CDTF">2023-05-03T09:13:00Z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