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2D7BAC84" w:rsidR="005551FE" w:rsidRPr="009B345C" w:rsidRDefault="005551FE" w:rsidP="005551FE">
      <w:pPr>
        <w:rPr>
          <w:color w:val="993366"/>
          <w:sz w:val="44"/>
          <w:szCs w:val="44"/>
        </w:rPr>
      </w:pPr>
      <w:r w:rsidRPr="009B345C">
        <w:rPr>
          <w:color w:val="993366"/>
          <w:sz w:val="44"/>
          <w:szCs w:val="44"/>
        </w:rPr>
        <w:t>Cumbria Office of Police</w:t>
      </w:r>
      <w:r w:rsidR="00671116">
        <w:rPr>
          <w:color w:val="993366"/>
          <w:sz w:val="44"/>
          <w:szCs w:val="44"/>
        </w:rPr>
        <w:t xml:space="preserve"> Fire</w:t>
      </w:r>
      <w:r w:rsidRPr="009B345C">
        <w:rPr>
          <w:color w:val="993366"/>
          <w:sz w:val="44"/>
          <w:szCs w:val="44"/>
        </w:rPr>
        <w:t xml:space="preserve"> and Crime Commissioner</w:t>
      </w:r>
    </w:p>
    <w:p w14:paraId="4A927F06" w14:textId="5A3F225C" w:rsidR="005551FE" w:rsidRDefault="005551FE" w:rsidP="005551FE">
      <w:pPr>
        <w:rPr>
          <w:b/>
        </w:rPr>
      </w:pPr>
      <w:r w:rsidRPr="005118E2">
        <w:rPr>
          <w:b/>
        </w:rPr>
        <w:t>Cumbria Police</w:t>
      </w:r>
      <w:r w:rsidR="00671116">
        <w:rPr>
          <w:b/>
        </w:rPr>
        <w:t xml:space="preserve"> Fire</w:t>
      </w:r>
      <w:r w:rsidRPr="005118E2">
        <w:rPr>
          <w:b/>
        </w:rPr>
        <w:t xml:space="preserve"> and Crime Commissioner (P</w:t>
      </w:r>
      <w:r w:rsidR="00671116">
        <w:rPr>
          <w:b/>
        </w:rPr>
        <w:t>F</w:t>
      </w:r>
      <w:r w:rsidRPr="005118E2">
        <w:rPr>
          <w:b/>
        </w:rPr>
        <w:t>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9067" w:type="dxa"/>
        <w:tblLook w:val="04A0" w:firstRow="1" w:lastRow="0" w:firstColumn="1" w:lastColumn="0" w:noHBand="0" w:noVBand="1"/>
      </w:tblPr>
      <w:tblGrid>
        <w:gridCol w:w="4508"/>
        <w:gridCol w:w="4559"/>
      </w:tblGrid>
      <w:tr w:rsidR="005551FE" w14:paraId="76A9A5A5" w14:textId="77777777" w:rsidTr="00490B78">
        <w:tc>
          <w:tcPr>
            <w:tcW w:w="4508" w:type="dxa"/>
            <w:tcBorders>
              <w:bottom w:val="nil"/>
            </w:tcBorders>
          </w:tcPr>
          <w:p w14:paraId="6DB9FAFB" w14:textId="77777777" w:rsidR="005551FE" w:rsidRPr="00F7424B" w:rsidRDefault="005551FE" w:rsidP="003B0E20">
            <w:pPr>
              <w:rPr>
                <w:b/>
              </w:rPr>
            </w:pPr>
            <w:r w:rsidRPr="00F7424B">
              <w:rPr>
                <w:b/>
              </w:rPr>
              <w:t xml:space="preserve">Inspection Title: </w:t>
            </w:r>
          </w:p>
        </w:tc>
        <w:tc>
          <w:tcPr>
            <w:tcW w:w="4559" w:type="dxa"/>
            <w:tcBorders>
              <w:bottom w:val="nil"/>
            </w:tcBorders>
          </w:tcPr>
          <w:p w14:paraId="1111F575" w14:textId="45AD6FE1" w:rsidR="000D5141" w:rsidRDefault="00FC0AAC" w:rsidP="000D5141">
            <w:pPr>
              <w:pStyle w:val="Heading3"/>
              <w:shd w:val="clear" w:color="auto" w:fill="FFFFFF"/>
              <w:spacing w:before="0" w:beforeAutospacing="0" w:after="24" w:afterAutospacing="0"/>
              <w:rPr>
                <w:rFonts w:ascii="Raleway" w:hAnsi="Raleway"/>
                <w:color w:val="555555"/>
                <w:sz w:val="36"/>
                <w:szCs w:val="36"/>
              </w:rPr>
            </w:pPr>
            <w:r w:rsidRPr="000E7973">
              <w:rPr>
                <w:rFonts w:asciiTheme="minorHAnsi" w:hAnsiTheme="minorHAnsi" w:cstheme="minorHAnsi"/>
                <w:b w:val="0"/>
                <w:bCs w:val="0"/>
                <w:sz w:val="22"/>
                <w:szCs w:val="22"/>
              </w:rPr>
              <w:t>#</w:t>
            </w:r>
            <w:r w:rsidR="00490B78" w:rsidRPr="000E7973">
              <w:rPr>
                <w:rFonts w:asciiTheme="minorHAnsi" w:hAnsiTheme="minorHAnsi" w:cstheme="minorHAnsi"/>
                <w:b w:val="0"/>
                <w:bCs w:val="0"/>
                <w:sz w:val="22"/>
                <w:szCs w:val="22"/>
              </w:rPr>
              <w:t>28</w:t>
            </w:r>
            <w:r w:rsidR="00524DE9">
              <w:rPr>
                <w:rFonts w:asciiTheme="minorHAnsi" w:hAnsiTheme="minorHAnsi" w:cstheme="minorHAnsi"/>
                <w:b w:val="0"/>
                <w:bCs w:val="0"/>
                <w:sz w:val="22"/>
                <w:szCs w:val="22"/>
              </w:rPr>
              <w:t>740</w:t>
            </w:r>
            <w:r w:rsidR="00490B78" w:rsidRPr="000E7973">
              <w:rPr>
                <w:rFonts w:asciiTheme="minorHAnsi" w:hAnsiTheme="minorHAnsi" w:cstheme="minorHAnsi"/>
                <w:b w:val="0"/>
                <w:bCs w:val="0"/>
                <w:sz w:val="22"/>
                <w:szCs w:val="22"/>
              </w:rPr>
              <w:t xml:space="preserve"> </w:t>
            </w:r>
            <w:r w:rsidR="00524DE9">
              <w:rPr>
                <w:rFonts w:asciiTheme="minorHAnsi" w:hAnsiTheme="minorHAnsi" w:cstheme="minorHAnsi"/>
                <w:b w:val="0"/>
                <w:bCs w:val="0"/>
                <w:sz w:val="22"/>
                <w:szCs w:val="22"/>
              </w:rPr>
              <w:t>–</w:t>
            </w:r>
            <w:r w:rsidR="000D5141">
              <w:rPr>
                <w:rFonts w:asciiTheme="minorHAnsi" w:hAnsiTheme="minorHAnsi" w:cstheme="minorHAnsi"/>
                <w:b w:val="0"/>
                <w:bCs w:val="0"/>
                <w:sz w:val="22"/>
                <w:szCs w:val="22"/>
              </w:rPr>
              <w:t xml:space="preserve"> </w:t>
            </w:r>
            <w:r w:rsidR="00524DE9">
              <w:rPr>
                <w:rFonts w:asciiTheme="minorHAnsi" w:hAnsiTheme="minorHAnsi" w:cstheme="minorHAnsi"/>
                <w:b w:val="0"/>
                <w:bCs w:val="0"/>
                <w:sz w:val="22"/>
                <w:szCs w:val="22"/>
              </w:rPr>
              <w:t>Management of terrorist offenders in the wake of terrorist attacks</w:t>
            </w:r>
            <w:r w:rsidR="000D5141" w:rsidRPr="000D5141">
              <w:rPr>
                <w:rFonts w:asciiTheme="minorHAnsi" w:hAnsiTheme="minorHAnsi" w:cstheme="minorHAnsi"/>
                <w:b w:val="0"/>
                <w:bCs w:val="0"/>
                <w:sz w:val="22"/>
                <w:szCs w:val="22"/>
              </w:rPr>
              <w:t>.</w:t>
            </w:r>
          </w:p>
          <w:p w14:paraId="12DE5683" w14:textId="7902551A" w:rsidR="005551FE" w:rsidRPr="000E7973" w:rsidRDefault="005551FE" w:rsidP="000D5141">
            <w:pPr>
              <w:pStyle w:val="Heading3"/>
              <w:shd w:val="clear" w:color="auto" w:fill="FFFFFF"/>
              <w:spacing w:before="0" w:beforeAutospacing="0" w:after="24" w:afterAutospacing="0"/>
              <w:rPr>
                <w:rFonts w:cstheme="minorHAnsi"/>
              </w:rPr>
            </w:pPr>
          </w:p>
        </w:tc>
      </w:tr>
      <w:tr w:rsidR="005551FE" w14:paraId="5758D4F5" w14:textId="77777777" w:rsidTr="00490B78">
        <w:tc>
          <w:tcPr>
            <w:tcW w:w="4508" w:type="dxa"/>
            <w:tcBorders>
              <w:top w:val="nil"/>
            </w:tcBorders>
          </w:tcPr>
          <w:p w14:paraId="6544A4C6" w14:textId="77777777" w:rsidR="005551FE" w:rsidRPr="00F7424B" w:rsidRDefault="005551FE" w:rsidP="003B0E20">
            <w:pPr>
              <w:rPr>
                <w:b/>
              </w:rPr>
            </w:pPr>
            <w:r w:rsidRPr="00F7424B">
              <w:rPr>
                <w:b/>
              </w:rPr>
              <w:t>Date Published:</w:t>
            </w:r>
          </w:p>
        </w:tc>
        <w:tc>
          <w:tcPr>
            <w:tcW w:w="4559" w:type="dxa"/>
            <w:tcBorders>
              <w:top w:val="nil"/>
            </w:tcBorders>
          </w:tcPr>
          <w:p w14:paraId="15722742" w14:textId="6ECF12D3" w:rsidR="005551FE" w:rsidRPr="000E7973" w:rsidRDefault="00524DE9" w:rsidP="003B0E20">
            <w:r>
              <w:t>20</w:t>
            </w:r>
            <w:r w:rsidR="000E7973" w:rsidRPr="000E7973">
              <w:t>/07/2023</w:t>
            </w:r>
          </w:p>
        </w:tc>
      </w:tr>
      <w:tr w:rsidR="005551FE" w14:paraId="471109F3" w14:textId="77777777" w:rsidTr="00490B78">
        <w:tc>
          <w:tcPr>
            <w:tcW w:w="4508" w:type="dxa"/>
          </w:tcPr>
          <w:p w14:paraId="05EEADDF" w14:textId="77777777" w:rsidR="005551FE" w:rsidRPr="00F7424B" w:rsidRDefault="005551FE" w:rsidP="003B0E20">
            <w:pPr>
              <w:rPr>
                <w:b/>
              </w:rPr>
            </w:pPr>
            <w:r w:rsidRPr="00F7424B">
              <w:rPr>
                <w:b/>
              </w:rPr>
              <w:t>Type of Inspection:</w:t>
            </w:r>
          </w:p>
        </w:tc>
        <w:tc>
          <w:tcPr>
            <w:tcW w:w="4559" w:type="dxa"/>
          </w:tcPr>
          <w:p w14:paraId="309108F2" w14:textId="55B2D460" w:rsidR="005551FE" w:rsidRDefault="006F130E" w:rsidP="003B0E20">
            <w:r>
              <w:t xml:space="preserve">National </w:t>
            </w:r>
            <w:r w:rsidR="00524DE9">
              <w:t>Thematic</w:t>
            </w:r>
          </w:p>
        </w:tc>
      </w:tr>
      <w:tr w:rsidR="005551FE" w:rsidRPr="00F7424B" w14:paraId="62D7B849" w14:textId="77777777" w:rsidTr="00490B78">
        <w:tc>
          <w:tcPr>
            <w:tcW w:w="9067"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524DE9">
        <w:tc>
          <w:tcPr>
            <w:tcW w:w="9067" w:type="dxa"/>
            <w:gridSpan w:val="2"/>
            <w:shd w:val="clear" w:color="auto" w:fill="auto"/>
          </w:tcPr>
          <w:p w14:paraId="0C556614" w14:textId="77A17DA5" w:rsidR="00524DE9" w:rsidRPr="00524DE9" w:rsidRDefault="00524DE9" w:rsidP="00524DE9">
            <w:pPr>
              <w:pStyle w:val="NormalWeb"/>
              <w:rPr>
                <w:rFonts w:asciiTheme="minorHAnsi" w:hAnsiTheme="minorHAnsi" w:cstheme="minorHAnsi"/>
                <w:sz w:val="22"/>
                <w:szCs w:val="22"/>
              </w:rPr>
            </w:pPr>
            <w:r w:rsidRPr="00524DE9">
              <w:rPr>
                <w:rFonts w:asciiTheme="minorHAnsi" w:hAnsiTheme="minorHAnsi" w:cstheme="minorHAnsi"/>
                <w:sz w:val="22"/>
                <w:szCs w:val="22"/>
              </w:rPr>
              <w:t>This counter terrorism inspection examined national security division and multi-agency arrangements for the management of terrorist offenders in the wake of terrorist attacks.</w:t>
            </w:r>
          </w:p>
          <w:p w14:paraId="4339C28A" w14:textId="77777777" w:rsidR="00524DE9" w:rsidRPr="00524DE9" w:rsidRDefault="00524DE9" w:rsidP="00524DE9">
            <w:pPr>
              <w:pStyle w:val="NormalWeb"/>
              <w:rPr>
                <w:rFonts w:asciiTheme="minorHAnsi" w:hAnsiTheme="minorHAnsi" w:cstheme="minorHAnsi"/>
                <w:sz w:val="22"/>
                <w:szCs w:val="22"/>
              </w:rPr>
            </w:pPr>
            <w:r w:rsidRPr="00524DE9">
              <w:rPr>
                <w:rFonts w:asciiTheme="minorHAnsi" w:hAnsiTheme="minorHAnsi" w:cstheme="minorHAnsi"/>
                <w:sz w:val="22"/>
                <w:szCs w:val="22"/>
              </w:rPr>
              <w:t>It was conducted jointly by HM Inspectorate of Probation, HMICFRS and HM Inspectorate of Prisons.</w:t>
            </w:r>
          </w:p>
          <w:p w14:paraId="31BEA594" w14:textId="1404A40A" w:rsidR="00524DE9" w:rsidRPr="00524DE9" w:rsidRDefault="00524DE9" w:rsidP="00524DE9">
            <w:pPr>
              <w:pStyle w:val="NormalWeb"/>
              <w:rPr>
                <w:rFonts w:asciiTheme="minorHAnsi" w:hAnsiTheme="minorHAnsi" w:cstheme="minorHAnsi"/>
                <w:sz w:val="22"/>
                <w:szCs w:val="22"/>
              </w:rPr>
            </w:pPr>
            <w:r w:rsidRPr="00524DE9">
              <w:rPr>
                <w:rFonts w:asciiTheme="minorHAnsi" w:hAnsiTheme="minorHAnsi" w:cstheme="minorHAnsi"/>
                <w:sz w:val="22"/>
                <w:szCs w:val="22"/>
              </w:rPr>
              <w:t>The inspection was commissioned by the Criminal Justice Chief Inspectors’ Group and published by HM Inspectorate of Probation.</w:t>
            </w:r>
          </w:p>
          <w:p w14:paraId="2DCE3271" w14:textId="36E581A6" w:rsidR="00524DE9" w:rsidRPr="000D5141" w:rsidRDefault="00524DE9" w:rsidP="00524DE9">
            <w:pPr>
              <w:pStyle w:val="NormalWeb"/>
              <w:rPr>
                <w:rFonts w:ascii="Roboto" w:hAnsi="Roboto"/>
                <w:color w:val="101010"/>
                <w:sz w:val="18"/>
                <w:szCs w:val="18"/>
              </w:rPr>
            </w:pPr>
          </w:p>
        </w:tc>
      </w:tr>
      <w:tr w:rsidR="005551FE" w:rsidRPr="00F7424B" w14:paraId="0808154B" w14:textId="77777777" w:rsidTr="00490B78">
        <w:trPr>
          <w:trHeight w:val="367"/>
        </w:trPr>
        <w:tc>
          <w:tcPr>
            <w:tcW w:w="9067" w:type="dxa"/>
            <w:gridSpan w:val="2"/>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0D5141">
        <w:trPr>
          <w:trHeight w:val="375"/>
        </w:trPr>
        <w:tc>
          <w:tcPr>
            <w:tcW w:w="9067" w:type="dxa"/>
            <w:gridSpan w:val="2"/>
            <w:shd w:val="clear" w:color="auto" w:fill="auto"/>
          </w:tcPr>
          <w:p w14:paraId="64CD37A9" w14:textId="4C5C0476" w:rsidR="000D5141" w:rsidRPr="00524DE9" w:rsidRDefault="00524DE9" w:rsidP="00524DE9">
            <w:pPr>
              <w:rPr>
                <w:rFonts w:cstheme="minorHAnsi"/>
              </w:rPr>
            </w:pPr>
            <w:r w:rsidRPr="00524DE9">
              <w:rPr>
                <w:rFonts w:cstheme="minorHAnsi"/>
              </w:rPr>
              <w:t xml:space="preserve">Recommendations for Counter Terrorism Policing: </w:t>
            </w:r>
          </w:p>
          <w:p w14:paraId="78E9D4DD" w14:textId="77777777" w:rsidR="00524DE9" w:rsidRPr="00524DE9" w:rsidRDefault="00524DE9" w:rsidP="000D5141">
            <w:pPr>
              <w:pStyle w:val="ListParagraph"/>
              <w:rPr>
                <w:rFonts w:asciiTheme="minorHAnsi" w:hAnsiTheme="minorHAnsi" w:cstheme="minorHAnsi"/>
              </w:rPr>
            </w:pPr>
          </w:p>
          <w:p w14:paraId="3FE58D6D" w14:textId="374BF672" w:rsidR="00524DE9" w:rsidRPr="00524DE9" w:rsidRDefault="00524DE9" w:rsidP="00524DE9">
            <w:pPr>
              <w:pStyle w:val="ListParagraph"/>
              <w:numPr>
                <w:ilvl w:val="0"/>
                <w:numId w:val="14"/>
              </w:numPr>
              <w:rPr>
                <w:rFonts w:asciiTheme="minorHAnsi" w:hAnsiTheme="minorHAnsi" w:cstheme="minorHAnsi"/>
              </w:rPr>
            </w:pPr>
            <w:r w:rsidRPr="00524DE9">
              <w:rPr>
                <w:rFonts w:asciiTheme="minorHAnsi" w:hAnsiTheme="minorHAnsi" w:cstheme="minorHAnsi"/>
              </w:rPr>
              <w:t xml:space="preserve">The senior national coordinator should review the Registered Terrorism Offender Assessment Framework process to ensure that it is fit for police led cases. </w:t>
            </w:r>
          </w:p>
          <w:p w14:paraId="1F0C791F" w14:textId="77777777" w:rsidR="00524DE9" w:rsidRPr="00524DE9" w:rsidRDefault="00524DE9" w:rsidP="000D5141">
            <w:pPr>
              <w:pStyle w:val="ListParagraph"/>
              <w:rPr>
                <w:rFonts w:asciiTheme="minorHAnsi" w:hAnsiTheme="minorHAnsi" w:cstheme="minorHAnsi"/>
              </w:rPr>
            </w:pPr>
          </w:p>
          <w:p w14:paraId="7003416B" w14:textId="3226AADD" w:rsidR="00524DE9" w:rsidRPr="00524DE9" w:rsidRDefault="00524DE9" w:rsidP="00524DE9">
            <w:pPr>
              <w:pStyle w:val="ListParagraph"/>
              <w:numPr>
                <w:ilvl w:val="0"/>
                <w:numId w:val="14"/>
              </w:numPr>
              <w:rPr>
                <w:rFonts w:asciiTheme="minorHAnsi" w:hAnsiTheme="minorHAnsi" w:cstheme="minorHAnsi"/>
              </w:rPr>
            </w:pPr>
            <w:r w:rsidRPr="00524DE9">
              <w:rPr>
                <w:rFonts w:asciiTheme="minorHAnsi" w:hAnsiTheme="minorHAnsi" w:cstheme="minorHAnsi"/>
              </w:rPr>
              <w:t xml:space="preserve">The senior national coordinator should work with the National Security Division and Joint Extremism Unit to develop and implement a risk assessment process for those tasked with visiting counter terrorism nominals in the community. </w:t>
            </w:r>
          </w:p>
          <w:p w14:paraId="1AE4CB04" w14:textId="77777777" w:rsidR="00524DE9" w:rsidRPr="00524DE9" w:rsidRDefault="00524DE9" w:rsidP="000D5141">
            <w:pPr>
              <w:pStyle w:val="ListParagraph"/>
              <w:rPr>
                <w:rFonts w:asciiTheme="minorHAnsi" w:hAnsiTheme="minorHAnsi" w:cstheme="minorHAnsi"/>
              </w:rPr>
            </w:pPr>
          </w:p>
          <w:p w14:paraId="24402C75" w14:textId="76CF6E55" w:rsidR="000D5141" w:rsidRPr="00524DE9" w:rsidRDefault="00524DE9" w:rsidP="00524DE9">
            <w:pPr>
              <w:pStyle w:val="ListParagraph"/>
              <w:numPr>
                <w:ilvl w:val="0"/>
                <w:numId w:val="14"/>
              </w:numPr>
              <w:rPr>
                <w:rFonts w:asciiTheme="minorHAnsi" w:hAnsiTheme="minorHAnsi" w:cstheme="minorHAnsi"/>
              </w:rPr>
            </w:pPr>
            <w:r w:rsidRPr="00524DE9">
              <w:rPr>
                <w:rFonts w:asciiTheme="minorHAnsi" w:hAnsiTheme="minorHAnsi" w:cstheme="minorHAnsi"/>
              </w:rPr>
              <w:t xml:space="preserve">The Head of Interventions (Prevent and Nominal Management) should ensure that guidance is issued to regional Counter Terrorism Nominal Management teams that sets out a consistent use of </w:t>
            </w:r>
            <w:proofErr w:type="spellStart"/>
            <w:r w:rsidRPr="00524DE9">
              <w:rPr>
                <w:rFonts w:asciiTheme="minorHAnsi" w:hAnsiTheme="minorHAnsi" w:cstheme="minorHAnsi"/>
              </w:rPr>
              <w:t>ViSOR</w:t>
            </w:r>
            <w:proofErr w:type="spellEnd"/>
            <w:r w:rsidRPr="00524DE9">
              <w:rPr>
                <w:rFonts w:asciiTheme="minorHAnsi" w:hAnsiTheme="minorHAnsi" w:cstheme="minorHAnsi"/>
              </w:rPr>
              <w:t xml:space="preserve"> to support Counter Terrorism Nominal Management in the period before MAPPS is implemented and in any transition that may follow.</w:t>
            </w:r>
          </w:p>
          <w:p w14:paraId="1945C26A" w14:textId="77777777" w:rsidR="000D5141" w:rsidRDefault="000D5141" w:rsidP="000D5141">
            <w:pPr>
              <w:pStyle w:val="NormalWeb"/>
              <w:spacing w:before="0" w:beforeAutospacing="0" w:after="0" w:afterAutospacing="0"/>
              <w:rPr>
                <w:rFonts w:asciiTheme="minorHAnsi" w:hAnsiTheme="minorHAnsi" w:cstheme="minorHAnsi"/>
                <w:sz w:val="22"/>
                <w:szCs w:val="22"/>
              </w:rPr>
            </w:pPr>
          </w:p>
          <w:p w14:paraId="504CB086" w14:textId="77777777" w:rsidR="000624B6" w:rsidRDefault="000624B6" w:rsidP="000D5141">
            <w:pPr>
              <w:pStyle w:val="NormalWeb"/>
              <w:spacing w:before="0" w:beforeAutospacing="0" w:after="0" w:afterAutospacing="0"/>
              <w:rPr>
                <w:rFonts w:asciiTheme="minorHAnsi" w:hAnsiTheme="minorHAnsi" w:cstheme="minorHAnsi"/>
                <w:sz w:val="22"/>
                <w:szCs w:val="22"/>
              </w:rPr>
            </w:pPr>
          </w:p>
          <w:p w14:paraId="52387582" w14:textId="77777777" w:rsidR="000624B6" w:rsidRDefault="000624B6" w:rsidP="000D5141">
            <w:pPr>
              <w:pStyle w:val="NormalWeb"/>
              <w:spacing w:before="0" w:beforeAutospacing="0" w:after="0" w:afterAutospacing="0"/>
              <w:rPr>
                <w:rFonts w:asciiTheme="minorHAnsi" w:hAnsiTheme="minorHAnsi" w:cstheme="minorHAnsi"/>
                <w:sz w:val="22"/>
                <w:szCs w:val="22"/>
              </w:rPr>
            </w:pPr>
          </w:p>
          <w:p w14:paraId="496EE3DE" w14:textId="77777777" w:rsidR="000624B6" w:rsidRDefault="000624B6" w:rsidP="000D5141">
            <w:pPr>
              <w:pStyle w:val="NormalWeb"/>
              <w:spacing w:before="0" w:beforeAutospacing="0" w:after="0" w:afterAutospacing="0"/>
              <w:rPr>
                <w:rFonts w:asciiTheme="minorHAnsi" w:hAnsiTheme="minorHAnsi" w:cstheme="minorHAnsi"/>
                <w:sz w:val="22"/>
                <w:szCs w:val="22"/>
              </w:rPr>
            </w:pPr>
          </w:p>
          <w:p w14:paraId="33F6455D" w14:textId="77777777" w:rsidR="000624B6" w:rsidRPr="000D5141" w:rsidRDefault="000624B6" w:rsidP="000D5141">
            <w:pPr>
              <w:pStyle w:val="NormalWeb"/>
              <w:spacing w:before="0" w:beforeAutospacing="0" w:after="0" w:afterAutospacing="0"/>
              <w:rPr>
                <w:rFonts w:asciiTheme="minorHAnsi" w:hAnsiTheme="minorHAnsi" w:cstheme="minorHAnsi"/>
                <w:sz w:val="22"/>
                <w:szCs w:val="22"/>
              </w:rPr>
            </w:pPr>
          </w:p>
          <w:p w14:paraId="5FFF8BC8" w14:textId="77777777" w:rsidR="008C0416" w:rsidRDefault="008C0416" w:rsidP="00467DDF">
            <w:pPr>
              <w:autoSpaceDE w:val="0"/>
              <w:autoSpaceDN w:val="0"/>
              <w:adjustRightInd w:val="0"/>
              <w:ind w:left="720"/>
              <w:rPr>
                <w:rFonts w:cstheme="minorHAnsi"/>
              </w:rPr>
            </w:pPr>
          </w:p>
          <w:p w14:paraId="15DD8720" w14:textId="77777777" w:rsidR="0091149F" w:rsidRDefault="0091149F" w:rsidP="00467DDF">
            <w:pPr>
              <w:autoSpaceDE w:val="0"/>
              <w:autoSpaceDN w:val="0"/>
              <w:adjustRightInd w:val="0"/>
              <w:ind w:left="720"/>
              <w:rPr>
                <w:rFonts w:cstheme="minorHAnsi"/>
              </w:rPr>
            </w:pPr>
          </w:p>
          <w:p w14:paraId="7DB9CCC1" w14:textId="77777777" w:rsidR="0091149F" w:rsidRDefault="0091149F" w:rsidP="00467DDF">
            <w:pPr>
              <w:autoSpaceDE w:val="0"/>
              <w:autoSpaceDN w:val="0"/>
              <w:adjustRightInd w:val="0"/>
              <w:ind w:left="720"/>
              <w:rPr>
                <w:rFonts w:cstheme="minorHAnsi"/>
              </w:rPr>
            </w:pPr>
          </w:p>
          <w:p w14:paraId="70E76E02" w14:textId="4E003E24" w:rsidR="0091149F" w:rsidRPr="000D5141" w:rsidRDefault="0091149F" w:rsidP="00467DDF">
            <w:pPr>
              <w:autoSpaceDE w:val="0"/>
              <w:autoSpaceDN w:val="0"/>
              <w:adjustRightInd w:val="0"/>
              <w:ind w:left="720"/>
              <w:rPr>
                <w:rFonts w:cstheme="minorHAnsi"/>
              </w:rPr>
            </w:pPr>
          </w:p>
        </w:tc>
      </w:tr>
      <w:tr w:rsidR="005551FE" w:rsidRPr="00F7424B" w14:paraId="686E41A8" w14:textId="77777777" w:rsidTr="00490B78">
        <w:trPr>
          <w:trHeight w:val="225"/>
        </w:trPr>
        <w:tc>
          <w:tcPr>
            <w:tcW w:w="9067" w:type="dxa"/>
            <w:gridSpan w:val="2"/>
          </w:tcPr>
          <w:p w14:paraId="7955B784" w14:textId="23A1C12B" w:rsidR="005551FE" w:rsidRPr="00E063E7" w:rsidRDefault="005551FE" w:rsidP="003B0E20">
            <w:pPr>
              <w:rPr>
                <w:b/>
              </w:rPr>
            </w:pPr>
            <w:r>
              <w:rPr>
                <w:b/>
              </w:rPr>
              <w:lastRenderedPageBreak/>
              <w:t>P</w:t>
            </w:r>
            <w:r w:rsidR="00671116">
              <w:rPr>
                <w:b/>
              </w:rPr>
              <w:t>F</w:t>
            </w:r>
            <w:r>
              <w:rPr>
                <w:b/>
              </w:rPr>
              <w:t xml:space="preserve">CC &amp; </w:t>
            </w:r>
            <w:r w:rsidRPr="000D585A">
              <w:rPr>
                <w:b/>
              </w:rPr>
              <w:t>C</w:t>
            </w:r>
            <w:r w:rsidR="009A5D01">
              <w:rPr>
                <w:b/>
              </w:rPr>
              <w:t xml:space="preserve">onstabulary </w:t>
            </w:r>
            <w:r w:rsidRPr="000D585A">
              <w:rPr>
                <w:b/>
              </w:rPr>
              <w:t>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490B78">
        <w:trPr>
          <w:trHeight w:val="159"/>
        </w:trPr>
        <w:tc>
          <w:tcPr>
            <w:tcW w:w="9067" w:type="dxa"/>
            <w:gridSpan w:val="2"/>
          </w:tcPr>
          <w:p w14:paraId="36605448" w14:textId="77777777" w:rsidR="000624B6" w:rsidRDefault="000624B6" w:rsidP="000624B6">
            <w:pPr>
              <w:pStyle w:val="NormalWeb"/>
              <w:shd w:val="clear" w:color="auto" w:fill="FFFFFF"/>
              <w:spacing w:before="0" w:beforeAutospacing="0" w:after="0" w:afterAutospacing="0"/>
              <w:rPr>
                <w:rFonts w:asciiTheme="minorHAnsi" w:hAnsiTheme="minorHAnsi" w:cstheme="minorHAnsi"/>
                <w:sz w:val="22"/>
                <w:szCs w:val="22"/>
              </w:rPr>
            </w:pPr>
          </w:p>
          <w:p w14:paraId="7952E5CC" w14:textId="0E490BF0" w:rsidR="000624B6" w:rsidRDefault="000624B6" w:rsidP="000624B6">
            <w:pPr>
              <w:pStyle w:val="NormalWeb"/>
              <w:shd w:val="clear" w:color="auto" w:fill="FFFFFF"/>
              <w:spacing w:before="0" w:beforeAutospacing="0" w:after="240" w:afterAutospacing="0"/>
              <w:rPr>
                <w:rFonts w:asciiTheme="minorHAnsi" w:hAnsiTheme="minorHAnsi" w:cstheme="minorHAnsi"/>
                <w:sz w:val="22"/>
                <w:szCs w:val="22"/>
              </w:rPr>
            </w:pPr>
            <w:r>
              <w:rPr>
                <w:rFonts w:asciiTheme="minorHAnsi" w:hAnsiTheme="minorHAnsi" w:cstheme="minorHAnsi"/>
                <w:sz w:val="22"/>
                <w:szCs w:val="22"/>
              </w:rPr>
              <w:t>Cumbria’s Police, Fire and Crime Commissioner welcomes the HMICFRS Report - Management of terrorist offenders in the wake of terrorist attacks</w:t>
            </w:r>
            <w:r w:rsidRPr="000D5141">
              <w:rPr>
                <w:rFonts w:asciiTheme="minorHAnsi" w:hAnsiTheme="minorHAnsi" w:cstheme="minorHAnsi"/>
                <w:sz w:val="22"/>
                <w:szCs w:val="22"/>
              </w:rPr>
              <w:t>.</w:t>
            </w:r>
            <w:r>
              <w:rPr>
                <w:rFonts w:asciiTheme="minorHAnsi" w:hAnsiTheme="minorHAnsi" w:cstheme="minorHAnsi"/>
                <w:sz w:val="22"/>
                <w:szCs w:val="22"/>
              </w:rPr>
              <w:t xml:space="preserve"> </w:t>
            </w:r>
          </w:p>
          <w:p w14:paraId="2B9C7F6F" w14:textId="054EA895" w:rsidR="000624B6" w:rsidRPr="00C10BF0" w:rsidRDefault="0015058E" w:rsidP="007B5F9E">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000624B6" w:rsidRPr="00C10BF0">
              <w:rPr>
                <w:rFonts w:asciiTheme="minorHAnsi" w:hAnsiTheme="minorHAnsi" w:cstheme="minorHAnsi"/>
                <w:sz w:val="22"/>
                <w:szCs w:val="22"/>
              </w:rPr>
              <w:t xml:space="preserve">As the PFCC for Cumbria, I am ever aware of the risks that terrorists </w:t>
            </w:r>
            <w:r w:rsidR="00403563">
              <w:rPr>
                <w:rFonts w:asciiTheme="minorHAnsi" w:hAnsiTheme="minorHAnsi" w:cstheme="minorHAnsi"/>
                <w:sz w:val="22"/>
                <w:szCs w:val="22"/>
              </w:rPr>
              <w:t xml:space="preserve">could </w:t>
            </w:r>
            <w:r w:rsidR="000624B6" w:rsidRPr="00C10BF0">
              <w:rPr>
                <w:rFonts w:asciiTheme="minorHAnsi" w:hAnsiTheme="minorHAnsi" w:cstheme="minorHAnsi"/>
                <w:sz w:val="22"/>
                <w:szCs w:val="22"/>
              </w:rPr>
              <w:t xml:space="preserve">bring to our communities across Cumbria but also across England and Wales. </w:t>
            </w:r>
            <w:r w:rsidR="006C705F" w:rsidRPr="00C10BF0">
              <w:rPr>
                <w:rFonts w:asciiTheme="minorHAnsi" w:hAnsiTheme="minorHAnsi" w:cstheme="minorHAnsi"/>
                <w:sz w:val="22"/>
                <w:szCs w:val="22"/>
              </w:rPr>
              <w:t>A</w:t>
            </w:r>
            <w:r w:rsidR="00A54B4F" w:rsidRPr="00C10BF0">
              <w:rPr>
                <w:rFonts w:asciiTheme="minorHAnsi" w:hAnsiTheme="minorHAnsi" w:cstheme="minorHAnsi"/>
                <w:sz w:val="22"/>
                <w:szCs w:val="22"/>
              </w:rPr>
              <w:t xml:space="preserve">s part of my Police and Crime Plan, ensuring that the Police are at the forefront of the response is key. </w:t>
            </w:r>
            <w:r w:rsidR="00403563">
              <w:rPr>
                <w:rFonts w:asciiTheme="minorHAnsi" w:hAnsiTheme="minorHAnsi" w:cstheme="minorHAnsi"/>
                <w:sz w:val="22"/>
                <w:szCs w:val="22"/>
              </w:rPr>
              <w:t>Furthermore, m</w:t>
            </w:r>
            <w:r w:rsidR="00C10BF0" w:rsidRPr="00C10BF0">
              <w:rPr>
                <w:rFonts w:asciiTheme="minorHAnsi" w:hAnsiTheme="minorHAnsi" w:cstheme="minorHAnsi"/>
                <w:sz w:val="22"/>
                <w:szCs w:val="22"/>
              </w:rPr>
              <w:t>y commissioned victim service includes the ability to provide support to victims of terrorism in the county should it be required</w:t>
            </w:r>
            <w:r>
              <w:rPr>
                <w:rFonts w:asciiTheme="minorHAnsi" w:hAnsiTheme="minorHAnsi" w:cstheme="minorHAnsi"/>
                <w:sz w:val="22"/>
                <w:szCs w:val="22"/>
              </w:rPr>
              <w:t xml:space="preserve">. As such, </w:t>
            </w:r>
            <w:r w:rsidR="000E3FCD" w:rsidRPr="00C10BF0">
              <w:rPr>
                <w:rFonts w:asciiTheme="minorHAnsi" w:hAnsiTheme="minorHAnsi" w:cstheme="minorHAnsi"/>
                <w:sz w:val="22"/>
                <w:szCs w:val="22"/>
              </w:rPr>
              <w:t xml:space="preserve">we </w:t>
            </w:r>
            <w:r w:rsidR="00A54B4F" w:rsidRPr="00C10BF0">
              <w:rPr>
                <w:rFonts w:asciiTheme="minorHAnsi" w:hAnsiTheme="minorHAnsi" w:cstheme="minorHAnsi"/>
                <w:sz w:val="22"/>
                <w:szCs w:val="22"/>
              </w:rPr>
              <w:t xml:space="preserve">regularly consider and </w:t>
            </w:r>
            <w:r w:rsidR="000E3FCD" w:rsidRPr="00C10BF0">
              <w:rPr>
                <w:rFonts w:asciiTheme="minorHAnsi" w:hAnsiTheme="minorHAnsi" w:cstheme="minorHAnsi"/>
                <w:sz w:val="22"/>
                <w:szCs w:val="22"/>
              </w:rPr>
              <w:t xml:space="preserve">take the </w:t>
            </w:r>
            <w:r w:rsidR="000624B6" w:rsidRPr="00C10BF0">
              <w:rPr>
                <w:rFonts w:asciiTheme="minorHAnsi" w:hAnsiTheme="minorHAnsi" w:cstheme="minorHAnsi"/>
                <w:sz w:val="22"/>
                <w:szCs w:val="22"/>
              </w:rPr>
              <w:t xml:space="preserve">necessary steps to ensure </w:t>
            </w:r>
            <w:r w:rsidR="00A54B4F" w:rsidRPr="00C10BF0">
              <w:rPr>
                <w:rFonts w:asciiTheme="minorHAnsi" w:hAnsiTheme="minorHAnsi" w:cstheme="minorHAnsi"/>
                <w:sz w:val="22"/>
                <w:szCs w:val="22"/>
              </w:rPr>
              <w:t>that Cumbria</w:t>
            </w:r>
            <w:r w:rsidR="000624B6" w:rsidRPr="00C10BF0">
              <w:rPr>
                <w:rFonts w:asciiTheme="minorHAnsi" w:hAnsiTheme="minorHAnsi" w:cstheme="minorHAnsi"/>
                <w:sz w:val="22"/>
                <w:szCs w:val="22"/>
              </w:rPr>
              <w:t xml:space="preserve"> is as safe as possible</w:t>
            </w:r>
            <w:r w:rsidR="0094517E" w:rsidRPr="00C10BF0">
              <w:rPr>
                <w:rFonts w:asciiTheme="minorHAnsi" w:hAnsiTheme="minorHAnsi" w:cstheme="minorHAnsi"/>
                <w:sz w:val="22"/>
                <w:szCs w:val="22"/>
              </w:rPr>
              <w:t>, including the management of the offender when such a crime is committed</w:t>
            </w:r>
            <w:r w:rsidR="00A54B4F" w:rsidRPr="00C10BF0">
              <w:rPr>
                <w:rFonts w:asciiTheme="minorHAnsi" w:hAnsiTheme="minorHAnsi" w:cstheme="minorHAnsi"/>
                <w:sz w:val="22"/>
                <w:szCs w:val="22"/>
              </w:rPr>
              <w:t>.</w:t>
            </w:r>
            <w:r>
              <w:rPr>
                <w:rFonts w:asciiTheme="minorHAnsi" w:hAnsiTheme="minorHAnsi" w:cstheme="minorHAnsi"/>
                <w:sz w:val="22"/>
                <w:szCs w:val="22"/>
              </w:rPr>
              <w:t>”</w:t>
            </w:r>
          </w:p>
          <w:p w14:paraId="03A6A9CB" w14:textId="77777777" w:rsidR="000E3FCD" w:rsidRDefault="000E3FCD" w:rsidP="007B5F9E">
            <w:pPr>
              <w:pStyle w:val="NormalWeb"/>
              <w:shd w:val="clear" w:color="auto" w:fill="FFFFFF"/>
              <w:spacing w:before="0" w:beforeAutospacing="0" w:after="0" w:afterAutospacing="0"/>
            </w:pPr>
          </w:p>
          <w:p w14:paraId="2F490BC4" w14:textId="12835CB4" w:rsidR="000E3FCD" w:rsidRPr="000E3FCD" w:rsidRDefault="0015058E" w:rsidP="007B5F9E">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000E3FCD" w:rsidRPr="000E3FCD">
              <w:rPr>
                <w:rFonts w:asciiTheme="minorHAnsi" w:hAnsiTheme="minorHAnsi" w:cstheme="minorHAnsi"/>
                <w:sz w:val="22"/>
                <w:szCs w:val="22"/>
              </w:rPr>
              <w:t>I</w:t>
            </w:r>
            <w:r w:rsidR="00310A2A">
              <w:rPr>
                <w:rFonts w:asciiTheme="minorHAnsi" w:hAnsiTheme="minorHAnsi" w:cstheme="minorHAnsi"/>
                <w:sz w:val="22"/>
                <w:szCs w:val="22"/>
              </w:rPr>
              <w:t xml:space="preserve"> welcome this publication and I further</w:t>
            </w:r>
            <w:r w:rsidR="006C705F">
              <w:rPr>
                <w:rFonts w:asciiTheme="minorHAnsi" w:hAnsiTheme="minorHAnsi" w:cstheme="minorHAnsi"/>
                <w:sz w:val="22"/>
                <w:szCs w:val="22"/>
              </w:rPr>
              <w:t xml:space="preserve"> acknowledge the recommendations </w:t>
            </w:r>
            <w:r w:rsidR="000E3FCD" w:rsidRPr="000E3FCD">
              <w:rPr>
                <w:rFonts w:asciiTheme="minorHAnsi" w:hAnsiTheme="minorHAnsi" w:cstheme="minorHAnsi"/>
                <w:sz w:val="22"/>
                <w:szCs w:val="22"/>
              </w:rPr>
              <w:t xml:space="preserve">set within the </w:t>
            </w:r>
            <w:r w:rsidR="00C10BF0" w:rsidRPr="000E3FCD">
              <w:rPr>
                <w:rFonts w:asciiTheme="minorHAnsi" w:hAnsiTheme="minorHAnsi" w:cstheme="minorHAnsi"/>
                <w:sz w:val="22"/>
                <w:szCs w:val="22"/>
              </w:rPr>
              <w:t>report.</w:t>
            </w:r>
            <w:r>
              <w:rPr>
                <w:rFonts w:asciiTheme="minorHAnsi" w:hAnsiTheme="minorHAnsi" w:cstheme="minorHAnsi"/>
                <w:sz w:val="22"/>
                <w:szCs w:val="22"/>
              </w:rPr>
              <w:t>”</w:t>
            </w:r>
          </w:p>
          <w:p w14:paraId="5BAED8A1" w14:textId="77777777" w:rsidR="000624B6" w:rsidRDefault="000624B6" w:rsidP="007B5F9E">
            <w:pPr>
              <w:pStyle w:val="NormalWeb"/>
              <w:shd w:val="clear" w:color="auto" w:fill="FFFFFF"/>
              <w:spacing w:before="0" w:beforeAutospacing="0" w:after="0" w:afterAutospacing="0"/>
            </w:pPr>
          </w:p>
          <w:p w14:paraId="221E38A1" w14:textId="2FFC1E3B" w:rsidR="000624B6" w:rsidRDefault="000624B6" w:rsidP="007B5F9E">
            <w:pPr>
              <w:pStyle w:val="NormalWeb"/>
              <w:shd w:val="clear" w:color="auto" w:fill="FFFFFF"/>
              <w:spacing w:before="0" w:beforeAutospacing="0" w:after="0" w:afterAutospacing="0"/>
            </w:pPr>
          </w:p>
          <w:p w14:paraId="50B6F97E" w14:textId="77777777" w:rsidR="00490B78" w:rsidRPr="00490B78" w:rsidRDefault="00490B78" w:rsidP="00490B78">
            <w:pPr>
              <w:pStyle w:val="NormalWeb"/>
              <w:rPr>
                <w:rFonts w:asciiTheme="minorHAnsi" w:hAnsiTheme="minorHAnsi" w:cstheme="minorHAnsi"/>
                <w:color w:val="101010"/>
                <w:sz w:val="22"/>
                <w:szCs w:val="22"/>
              </w:rPr>
            </w:pPr>
          </w:p>
          <w:p w14:paraId="4A109B73" w14:textId="77777777" w:rsidR="00490B78" w:rsidRDefault="00490B78" w:rsidP="007B5F9E">
            <w:pPr>
              <w:pStyle w:val="NormalWeb"/>
              <w:shd w:val="clear" w:color="auto" w:fill="FFFFFF"/>
              <w:spacing w:before="0" w:beforeAutospacing="0" w:after="0" w:afterAutospacing="0"/>
            </w:pPr>
          </w:p>
          <w:p w14:paraId="13EAA6E9" w14:textId="2C120765" w:rsidR="001A0715" w:rsidRDefault="001A0715" w:rsidP="007B5F9E">
            <w:pPr>
              <w:pStyle w:val="NormalWeb"/>
              <w:shd w:val="clear" w:color="auto" w:fill="FFFFFF"/>
              <w:spacing w:before="0" w:beforeAutospacing="0" w:after="0" w:afterAutospacing="0"/>
            </w:pPr>
          </w:p>
          <w:p w14:paraId="4AB283DC" w14:textId="3D79646A" w:rsidR="001A0715" w:rsidRDefault="001A0715" w:rsidP="007B5F9E">
            <w:pPr>
              <w:pStyle w:val="NormalWeb"/>
              <w:shd w:val="clear" w:color="auto" w:fill="FFFFFF"/>
              <w:spacing w:before="0" w:beforeAutospacing="0" w:after="0" w:afterAutospacing="0"/>
            </w:pPr>
          </w:p>
          <w:p w14:paraId="750E1A02" w14:textId="3908C752" w:rsidR="001A0715" w:rsidRDefault="001A0715" w:rsidP="007B5F9E">
            <w:pPr>
              <w:pStyle w:val="NormalWeb"/>
              <w:shd w:val="clear" w:color="auto" w:fill="FFFFFF"/>
              <w:spacing w:before="0" w:beforeAutospacing="0" w:after="0" w:afterAutospacing="0"/>
            </w:pPr>
          </w:p>
          <w:p w14:paraId="20D373BA" w14:textId="6B0B5F5D" w:rsidR="001A0715" w:rsidRDefault="001A0715" w:rsidP="007B5F9E">
            <w:pPr>
              <w:pStyle w:val="NormalWeb"/>
              <w:shd w:val="clear" w:color="auto" w:fill="FFFFFF"/>
              <w:spacing w:before="0" w:beforeAutospacing="0" w:after="0" w:afterAutospacing="0"/>
            </w:pPr>
          </w:p>
          <w:p w14:paraId="2E5666DA" w14:textId="43B47A9C" w:rsidR="001A0715" w:rsidRDefault="001A0715" w:rsidP="007B5F9E">
            <w:pPr>
              <w:pStyle w:val="NormalWeb"/>
              <w:shd w:val="clear" w:color="auto" w:fill="FFFFFF"/>
              <w:spacing w:before="0" w:beforeAutospacing="0" w:after="0" w:afterAutospacing="0"/>
            </w:pPr>
          </w:p>
          <w:p w14:paraId="7DD07C19" w14:textId="4235CB96" w:rsidR="001A0715" w:rsidRDefault="001A0715" w:rsidP="007B5F9E">
            <w:pPr>
              <w:pStyle w:val="NormalWeb"/>
              <w:shd w:val="clear" w:color="auto" w:fill="FFFFFF"/>
              <w:spacing w:before="0" w:beforeAutospacing="0" w:after="0" w:afterAutospacing="0"/>
            </w:pPr>
          </w:p>
          <w:p w14:paraId="24D000C0" w14:textId="5AB9959F" w:rsidR="001A0715" w:rsidRDefault="001A0715" w:rsidP="007B5F9E">
            <w:pPr>
              <w:pStyle w:val="NormalWeb"/>
              <w:shd w:val="clear" w:color="auto" w:fill="FFFFFF"/>
              <w:spacing w:before="0" w:beforeAutospacing="0" w:after="0" w:afterAutospacing="0"/>
            </w:pPr>
          </w:p>
          <w:p w14:paraId="1CADE6BB" w14:textId="567951F9" w:rsidR="001A0715" w:rsidRDefault="001A0715" w:rsidP="007B5F9E">
            <w:pPr>
              <w:pStyle w:val="NormalWeb"/>
              <w:shd w:val="clear" w:color="auto" w:fill="FFFFFF"/>
              <w:spacing w:before="0" w:beforeAutospacing="0" w:after="0" w:afterAutospacing="0"/>
            </w:pPr>
          </w:p>
          <w:p w14:paraId="074AA696" w14:textId="0E3BC3E5" w:rsidR="001A0715" w:rsidRDefault="001A0715" w:rsidP="007B5F9E">
            <w:pPr>
              <w:pStyle w:val="NormalWeb"/>
              <w:shd w:val="clear" w:color="auto" w:fill="FFFFFF"/>
              <w:spacing w:before="0" w:beforeAutospacing="0" w:after="0" w:afterAutospacing="0"/>
            </w:pPr>
          </w:p>
          <w:p w14:paraId="25D6F2AC" w14:textId="42287917" w:rsidR="00914C87" w:rsidRDefault="00914C87" w:rsidP="007B5F9E">
            <w:pPr>
              <w:pStyle w:val="NormalWeb"/>
              <w:shd w:val="clear" w:color="auto" w:fill="FFFFFF"/>
              <w:spacing w:before="0" w:beforeAutospacing="0" w:after="0" w:afterAutospacing="0"/>
            </w:pPr>
          </w:p>
          <w:p w14:paraId="25BA4192" w14:textId="75724C30" w:rsidR="00914C87" w:rsidRDefault="00914C87" w:rsidP="007B5F9E">
            <w:pPr>
              <w:pStyle w:val="NormalWeb"/>
              <w:shd w:val="clear" w:color="auto" w:fill="FFFFFF"/>
              <w:spacing w:before="0" w:beforeAutospacing="0" w:after="0" w:afterAutospacing="0"/>
            </w:pPr>
          </w:p>
          <w:p w14:paraId="3CE1B896" w14:textId="3A7322BE" w:rsidR="00914C87" w:rsidRDefault="00914C87" w:rsidP="007B5F9E">
            <w:pPr>
              <w:pStyle w:val="NormalWeb"/>
              <w:shd w:val="clear" w:color="auto" w:fill="FFFFFF"/>
              <w:spacing w:before="0" w:beforeAutospacing="0" w:after="0" w:afterAutospacing="0"/>
            </w:pPr>
          </w:p>
          <w:p w14:paraId="6E089B1A" w14:textId="5B332A9B" w:rsidR="00914C87" w:rsidRDefault="00914C87" w:rsidP="007B5F9E">
            <w:pPr>
              <w:pStyle w:val="NormalWeb"/>
              <w:shd w:val="clear" w:color="auto" w:fill="FFFFFF"/>
              <w:spacing w:before="0" w:beforeAutospacing="0" w:after="0" w:afterAutospacing="0"/>
            </w:pPr>
          </w:p>
          <w:p w14:paraId="54F66761" w14:textId="0BE8E3BC" w:rsidR="00914C87" w:rsidRDefault="00914C87" w:rsidP="007B5F9E">
            <w:pPr>
              <w:pStyle w:val="NormalWeb"/>
              <w:shd w:val="clear" w:color="auto" w:fill="FFFFFF"/>
              <w:spacing w:before="0" w:beforeAutospacing="0" w:after="0" w:afterAutospacing="0"/>
            </w:pPr>
          </w:p>
          <w:p w14:paraId="00756191" w14:textId="322CA8FB" w:rsidR="00914C87" w:rsidRDefault="00914C87" w:rsidP="007B5F9E">
            <w:pPr>
              <w:pStyle w:val="NormalWeb"/>
              <w:shd w:val="clear" w:color="auto" w:fill="FFFFFF"/>
              <w:spacing w:before="0" w:beforeAutospacing="0" w:after="0" w:afterAutospacing="0"/>
            </w:pPr>
          </w:p>
          <w:p w14:paraId="765B6C97" w14:textId="2C61C62B" w:rsidR="00914C87" w:rsidRDefault="00914C87" w:rsidP="007B5F9E">
            <w:pPr>
              <w:pStyle w:val="NormalWeb"/>
              <w:shd w:val="clear" w:color="auto" w:fill="FFFFFF"/>
              <w:spacing w:before="0" w:beforeAutospacing="0" w:after="0" w:afterAutospacing="0"/>
            </w:pPr>
          </w:p>
          <w:p w14:paraId="3DFC31AB" w14:textId="0F0A42FE" w:rsidR="00914C87" w:rsidRDefault="00914C87" w:rsidP="007B5F9E">
            <w:pPr>
              <w:pStyle w:val="NormalWeb"/>
              <w:shd w:val="clear" w:color="auto" w:fill="FFFFFF"/>
              <w:spacing w:before="0" w:beforeAutospacing="0" w:after="0" w:afterAutospacing="0"/>
            </w:pPr>
          </w:p>
          <w:p w14:paraId="17B8C3E5" w14:textId="263FF5D2" w:rsidR="00914C87" w:rsidRDefault="00914C87" w:rsidP="007B5F9E">
            <w:pPr>
              <w:pStyle w:val="NormalWeb"/>
              <w:shd w:val="clear" w:color="auto" w:fill="FFFFFF"/>
              <w:spacing w:before="0" w:beforeAutospacing="0" w:after="0" w:afterAutospacing="0"/>
            </w:pPr>
          </w:p>
          <w:p w14:paraId="7EC633A8" w14:textId="14B8A0FB" w:rsidR="00914C87" w:rsidRDefault="00914C87" w:rsidP="007B5F9E">
            <w:pPr>
              <w:pStyle w:val="NormalWeb"/>
              <w:shd w:val="clear" w:color="auto" w:fill="FFFFFF"/>
              <w:spacing w:before="0" w:beforeAutospacing="0" w:after="0" w:afterAutospacing="0"/>
            </w:pPr>
          </w:p>
          <w:p w14:paraId="0A0474DC" w14:textId="6803CDD2" w:rsidR="00914C87" w:rsidRDefault="00914C87" w:rsidP="007B5F9E">
            <w:pPr>
              <w:pStyle w:val="NormalWeb"/>
              <w:shd w:val="clear" w:color="auto" w:fill="FFFFFF"/>
              <w:spacing w:before="0" w:beforeAutospacing="0" w:after="0" w:afterAutospacing="0"/>
            </w:pPr>
          </w:p>
          <w:p w14:paraId="74FBF071" w14:textId="00440243" w:rsidR="00914C87" w:rsidRDefault="00914C87" w:rsidP="007B5F9E">
            <w:pPr>
              <w:pStyle w:val="NormalWeb"/>
              <w:shd w:val="clear" w:color="auto" w:fill="FFFFFF"/>
              <w:spacing w:before="0" w:beforeAutospacing="0" w:after="0" w:afterAutospacing="0"/>
            </w:pPr>
          </w:p>
          <w:p w14:paraId="4C176455" w14:textId="38710039" w:rsidR="00914C87" w:rsidRDefault="00914C87" w:rsidP="007B5F9E">
            <w:pPr>
              <w:pStyle w:val="NormalWeb"/>
              <w:shd w:val="clear" w:color="auto" w:fill="FFFFFF"/>
              <w:spacing w:before="0" w:beforeAutospacing="0" w:after="0" w:afterAutospacing="0"/>
            </w:pPr>
          </w:p>
          <w:p w14:paraId="62226FC9" w14:textId="5E274D21" w:rsidR="00914C87" w:rsidRDefault="00914C87" w:rsidP="007B5F9E">
            <w:pPr>
              <w:pStyle w:val="NormalWeb"/>
              <w:shd w:val="clear" w:color="auto" w:fill="FFFFFF"/>
              <w:spacing w:before="0" w:beforeAutospacing="0" w:after="0" w:afterAutospacing="0"/>
            </w:pPr>
          </w:p>
          <w:p w14:paraId="24C6E666" w14:textId="7D8190BF" w:rsidR="00914C87" w:rsidRDefault="00914C87" w:rsidP="007B5F9E">
            <w:pPr>
              <w:pStyle w:val="NormalWeb"/>
              <w:shd w:val="clear" w:color="auto" w:fill="FFFFFF"/>
              <w:spacing w:before="0" w:beforeAutospacing="0" w:after="0" w:afterAutospacing="0"/>
            </w:pPr>
          </w:p>
          <w:p w14:paraId="6E9AEA57" w14:textId="481D0EA8" w:rsidR="00914C87" w:rsidRDefault="00914C87" w:rsidP="007B5F9E">
            <w:pPr>
              <w:pStyle w:val="NormalWeb"/>
              <w:shd w:val="clear" w:color="auto" w:fill="FFFFFF"/>
              <w:spacing w:before="0" w:beforeAutospacing="0" w:after="0" w:afterAutospacing="0"/>
            </w:pPr>
          </w:p>
          <w:p w14:paraId="1DC81109" w14:textId="1F423D1F" w:rsidR="00914C87" w:rsidRDefault="00914C87" w:rsidP="007B5F9E">
            <w:pPr>
              <w:pStyle w:val="NormalWeb"/>
              <w:shd w:val="clear" w:color="auto" w:fill="FFFFFF"/>
              <w:spacing w:before="0" w:beforeAutospacing="0" w:after="0" w:afterAutospacing="0"/>
            </w:pPr>
          </w:p>
          <w:p w14:paraId="4B2F803D" w14:textId="785783EA" w:rsidR="00914C87" w:rsidRDefault="00914C87" w:rsidP="007B5F9E">
            <w:pPr>
              <w:pStyle w:val="NormalWeb"/>
              <w:shd w:val="clear" w:color="auto" w:fill="FFFFFF"/>
              <w:spacing w:before="0" w:beforeAutospacing="0" w:after="0" w:afterAutospacing="0"/>
            </w:pPr>
          </w:p>
          <w:p w14:paraId="506CAD74" w14:textId="7447284F" w:rsidR="00914C87" w:rsidRDefault="00914C87" w:rsidP="007B5F9E">
            <w:pPr>
              <w:pStyle w:val="NormalWeb"/>
              <w:shd w:val="clear" w:color="auto" w:fill="FFFFFF"/>
              <w:spacing w:before="0" w:beforeAutospacing="0" w:after="0" w:afterAutospacing="0"/>
            </w:pPr>
          </w:p>
          <w:p w14:paraId="68E2517D" w14:textId="4D5D0CBD" w:rsidR="00914C87" w:rsidRDefault="00914C87" w:rsidP="007B5F9E">
            <w:pPr>
              <w:pStyle w:val="NormalWeb"/>
              <w:shd w:val="clear" w:color="auto" w:fill="FFFFFF"/>
              <w:spacing w:before="0" w:beforeAutospacing="0" w:after="0" w:afterAutospacing="0"/>
            </w:pPr>
          </w:p>
          <w:p w14:paraId="05BE90D2" w14:textId="7AC679D0" w:rsidR="00914C87" w:rsidRDefault="00914C87" w:rsidP="007B5F9E">
            <w:pPr>
              <w:pStyle w:val="NormalWeb"/>
              <w:shd w:val="clear" w:color="auto" w:fill="FFFFFF"/>
              <w:spacing w:before="0" w:beforeAutospacing="0" w:after="0" w:afterAutospacing="0"/>
            </w:pPr>
          </w:p>
          <w:p w14:paraId="2B3C233D" w14:textId="3D20AC9C" w:rsidR="00914C87" w:rsidRDefault="00914C87" w:rsidP="007B5F9E">
            <w:pPr>
              <w:pStyle w:val="NormalWeb"/>
              <w:shd w:val="clear" w:color="auto" w:fill="FFFFFF"/>
              <w:spacing w:before="0" w:beforeAutospacing="0" w:after="0" w:afterAutospacing="0"/>
            </w:pPr>
          </w:p>
          <w:p w14:paraId="298AA128" w14:textId="4655561F" w:rsidR="00914C87" w:rsidRDefault="00914C87" w:rsidP="007B5F9E">
            <w:pPr>
              <w:pStyle w:val="NormalWeb"/>
              <w:shd w:val="clear" w:color="auto" w:fill="FFFFFF"/>
              <w:spacing w:before="0" w:beforeAutospacing="0" w:after="0" w:afterAutospacing="0"/>
            </w:pPr>
          </w:p>
          <w:p w14:paraId="52D5ADE4" w14:textId="6A7CDA5E" w:rsidR="00914C87" w:rsidRDefault="00914C87" w:rsidP="007B5F9E">
            <w:pPr>
              <w:pStyle w:val="NormalWeb"/>
              <w:shd w:val="clear" w:color="auto" w:fill="FFFFFF"/>
              <w:spacing w:before="0" w:beforeAutospacing="0" w:after="0" w:afterAutospacing="0"/>
            </w:pPr>
          </w:p>
          <w:p w14:paraId="0273F65C" w14:textId="77777777" w:rsidR="00914C87" w:rsidRDefault="00914C87" w:rsidP="007B5F9E">
            <w:pPr>
              <w:pStyle w:val="NormalWeb"/>
              <w:shd w:val="clear" w:color="auto" w:fill="FFFFFF"/>
              <w:spacing w:before="0" w:beforeAutospacing="0" w:after="0" w:afterAutospacing="0"/>
            </w:pPr>
          </w:p>
          <w:p w14:paraId="1E9E5F05" w14:textId="3CB01011" w:rsidR="00914C87" w:rsidRDefault="00914C87" w:rsidP="007B5F9E">
            <w:pPr>
              <w:pStyle w:val="NormalWeb"/>
              <w:shd w:val="clear" w:color="auto" w:fill="FFFFFF"/>
              <w:spacing w:before="0" w:beforeAutospacing="0" w:after="0" w:afterAutospacing="0"/>
            </w:pPr>
          </w:p>
          <w:p w14:paraId="15374E00" w14:textId="77777777" w:rsidR="00914C87" w:rsidRDefault="00914C87" w:rsidP="007B5F9E">
            <w:pPr>
              <w:pStyle w:val="NormalWeb"/>
              <w:shd w:val="clear" w:color="auto" w:fill="FFFFFF"/>
              <w:spacing w:before="0" w:beforeAutospacing="0" w:after="0" w:afterAutospacing="0"/>
            </w:pPr>
          </w:p>
          <w:p w14:paraId="01566957" w14:textId="1DC8D178" w:rsidR="001A0715" w:rsidRPr="00FE2721" w:rsidRDefault="001A0715" w:rsidP="008C0416">
            <w:pPr>
              <w:rPr>
                <w:rFonts w:cstheme="minorHAnsi"/>
              </w:rPr>
            </w:pPr>
          </w:p>
        </w:tc>
      </w:tr>
    </w:tbl>
    <w:p w14:paraId="7604699C" w14:textId="1E2824FE" w:rsidR="00914C87" w:rsidRPr="005551FE" w:rsidRDefault="00914C87">
      <w:pPr>
        <w:rPr>
          <w:b/>
          <w:color w:val="5B9BD5" w:themeColor="accent5"/>
          <w:sz w:val="24"/>
          <w:szCs w:val="24"/>
        </w:rPr>
      </w:pPr>
    </w:p>
    <w:sectPr w:rsidR="00914C87"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22146"/>
    <w:multiLevelType w:val="hybridMultilevel"/>
    <w:tmpl w:val="7F6E425E"/>
    <w:lvl w:ilvl="0" w:tplc="F8CE8B26">
      <w:numFmt w:val="bullet"/>
      <w:lvlText w:val="-"/>
      <w:lvlJc w:val="left"/>
      <w:pPr>
        <w:ind w:left="1080" w:hanging="360"/>
      </w:pPr>
      <w:rPr>
        <w:rFonts w:ascii="Calibri" w:eastAsia="Arial Unicode M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5F545F4"/>
    <w:multiLevelType w:val="hybridMultilevel"/>
    <w:tmpl w:val="F5B4A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190A08"/>
    <w:multiLevelType w:val="hybridMultilevel"/>
    <w:tmpl w:val="4B00B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94D413D"/>
    <w:multiLevelType w:val="hybridMultilevel"/>
    <w:tmpl w:val="E95E3E2C"/>
    <w:lvl w:ilvl="0" w:tplc="2578E8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87736">
    <w:abstractNumId w:val="12"/>
  </w:num>
  <w:num w:numId="2" w16cid:durableId="1189754214">
    <w:abstractNumId w:val="9"/>
  </w:num>
  <w:num w:numId="3" w16cid:durableId="1274478975">
    <w:abstractNumId w:val="0"/>
  </w:num>
  <w:num w:numId="4" w16cid:durableId="445544418">
    <w:abstractNumId w:val="3"/>
  </w:num>
  <w:num w:numId="5" w16cid:durableId="1078330292">
    <w:abstractNumId w:val="13"/>
  </w:num>
  <w:num w:numId="6" w16cid:durableId="856772445">
    <w:abstractNumId w:val="2"/>
  </w:num>
  <w:num w:numId="7" w16cid:durableId="1254435320">
    <w:abstractNumId w:val="1"/>
  </w:num>
  <w:num w:numId="8" w16cid:durableId="1691639611">
    <w:abstractNumId w:val="10"/>
  </w:num>
  <w:num w:numId="9" w16cid:durableId="636758931">
    <w:abstractNumId w:val="7"/>
  </w:num>
  <w:num w:numId="10" w16cid:durableId="1134182391">
    <w:abstractNumId w:val="11"/>
  </w:num>
  <w:num w:numId="11" w16cid:durableId="1150172863">
    <w:abstractNumId w:val="4"/>
  </w:num>
  <w:num w:numId="12" w16cid:durableId="926155845">
    <w:abstractNumId w:val="5"/>
  </w:num>
  <w:num w:numId="13" w16cid:durableId="559705029">
    <w:abstractNumId w:val="6"/>
  </w:num>
  <w:num w:numId="14" w16cid:durableId="20425158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0354B7"/>
    <w:rsid w:val="00054D8C"/>
    <w:rsid w:val="000624B6"/>
    <w:rsid w:val="0006707B"/>
    <w:rsid w:val="00071583"/>
    <w:rsid w:val="00081D42"/>
    <w:rsid w:val="000A0DA5"/>
    <w:rsid w:val="000D5141"/>
    <w:rsid w:val="000E3FCD"/>
    <w:rsid w:val="000E7973"/>
    <w:rsid w:val="00104F3C"/>
    <w:rsid w:val="00106EA7"/>
    <w:rsid w:val="00112288"/>
    <w:rsid w:val="0011666E"/>
    <w:rsid w:val="00130CC5"/>
    <w:rsid w:val="001342C3"/>
    <w:rsid w:val="0015058E"/>
    <w:rsid w:val="001A0715"/>
    <w:rsid w:val="00207864"/>
    <w:rsid w:val="0023509A"/>
    <w:rsid w:val="00310A2A"/>
    <w:rsid w:val="0032476B"/>
    <w:rsid w:val="00345CA9"/>
    <w:rsid w:val="00385129"/>
    <w:rsid w:val="00393B09"/>
    <w:rsid w:val="0039658F"/>
    <w:rsid w:val="003B3BD5"/>
    <w:rsid w:val="003E43DE"/>
    <w:rsid w:val="00403563"/>
    <w:rsid w:val="00455CE3"/>
    <w:rsid w:val="00467DDF"/>
    <w:rsid w:val="00490B78"/>
    <w:rsid w:val="004961B2"/>
    <w:rsid w:val="004D4E10"/>
    <w:rsid w:val="004F11A9"/>
    <w:rsid w:val="00524DE9"/>
    <w:rsid w:val="005551FE"/>
    <w:rsid w:val="00565793"/>
    <w:rsid w:val="0066113B"/>
    <w:rsid w:val="00671116"/>
    <w:rsid w:val="006A3981"/>
    <w:rsid w:val="006C26C7"/>
    <w:rsid w:val="006C2745"/>
    <w:rsid w:val="006C705F"/>
    <w:rsid w:val="006F130E"/>
    <w:rsid w:val="0079152F"/>
    <w:rsid w:val="007B5F9E"/>
    <w:rsid w:val="007F1780"/>
    <w:rsid w:val="008251DE"/>
    <w:rsid w:val="00852E44"/>
    <w:rsid w:val="008618B2"/>
    <w:rsid w:val="008C0416"/>
    <w:rsid w:val="008C614E"/>
    <w:rsid w:val="008F4E3D"/>
    <w:rsid w:val="009028DD"/>
    <w:rsid w:val="00903886"/>
    <w:rsid w:val="0091149F"/>
    <w:rsid w:val="00914C87"/>
    <w:rsid w:val="00931E2D"/>
    <w:rsid w:val="0094517E"/>
    <w:rsid w:val="009543F0"/>
    <w:rsid w:val="00960AEE"/>
    <w:rsid w:val="009618AE"/>
    <w:rsid w:val="00973E8B"/>
    <w:rsid w:val="00975432"/>
    <w:rsid w:val="009901FF"/>
    <w:rsid w:val="00991537"/>
    <w:rsid w:val="00993C2A"/>
    <w:rsid w:val="009A5D01"/>
    <w:rsid w:val="009B7539"/>
    <w:rsid w:val="009E35A0"/>
    <w:rsid w:val="009E5C4D"/>
    <w:rsid w:val="00A31E30"/>
    <w:rsid w:val="00A54B4F"/>
    <w:rsid w:val="00A6174F"/>
    <w:rsid w:val="00A648D1"/>
    <w:rsid w:val="00A7379E"/>
    <w:rsid w:val="00AD5320"/>
    <w:rsid w:val="00AD7E12"/>
    <w:rsid w:val="00AE1889"/>
    <w:rsid w:val="00AE4F3B"/>
    <w:rsid w:val="00AF6BE6"/>
    <w:rsid w:val="00B3219A"/>
    <w:rsid w:val="00B55EEE"/>
    <w:rsid w:val="00C10BF0"/>
    <w:rsid w:val="00C35352"/>
    <w:rsid w:val="00C7425C"/>
    <w:rsid w:val="00CC0B93"/>
    <w:rsid w:val="00CC43E5"/>
    <w:rsid w:val="00CD449F"/>
    <w:rsid w:val="00D27E47"/>
    <w:rsid w:val="00D42005"/>
    <w:rsid w:val="00D42640"/>
    <w:rsid w:val="00D50AB5"/>
    <w:rsid w:val="00D800AD"/>
    <w:rsid w:val="00E006DE"/>
    <w:rsid w:val="00E26599"/>
    <w:rsid w:val="00E557A2"/>
    <w:rsid w:val="00E77B66"/>
    <w:rsid w:val="00EC0349"/>
    <w:rsid w:val="00EE75C8"/>
    <w:rsid w:val="00EF7DFE"/>
    <w:rsid w:val="00F26796"/>
    <w:rsid w:val="00F70C5F"/>
    <w:rsid w:val="00F76BBB"/>
    <w:rsid w:val="00F81B0B"/>
    <w:rsid w:val="00F84014"/>
    <w:rsid w:val="00FB44B1"/>
    <w:rsid w:val="00FC0AAC"/>
    <w:rsid w:val="00FC4916"/>
    <w:rsid w:val="00FE2721"/>
    <w:rsid w:val="00FF6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paragraph" w:styleId="Heading3">
    <w:name w:val="heading 3"/>
    <w:basedOn w:val="Normal"/>
    <w:link w:val="Heading3Char"/>
    <w:uiPriority w:val="9"/>
    <w:qFormat/>
    <w:rsid w:val="00FF612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 w:type="character" w:customStyle="1" w:styleId="Heading3Char">
    <w:name w:val="Heading 3 Char"/>
    <w:basedOn w:val="DefaultParagraphFont"/>
    <w:link w:val="Heading3"/>
    <w:uiPriority w:val="9"/>
    <w:rsid w:val="00FF6121"/>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8C614E"/>
    <w:rPr>
      <w:sz w:val="16"/>
      <w:szCs w:val="16"/>
    </w:rPr>
  </w:style>
  <w:style w:type="paragraph" w:styleId="CommentText">
    <w:name w:val="annotation text"/>
    <w:basedOn w:val="Normal"/>
    <w:link w:val="CommentTextChar"/>
    <w:uiPriority w:val="99"/>
    <w:semiHidden/>
    <w:unhideWhenUsed/>
    <w:rsid w:val="008C614E"/>
    <w:pPr>
      <w:spacing w:line="240" w:lineRule="auto"/>
    </w:pPr>
    <w:rPr>
      <w:sz w:val="20"/>
      <w:szCs w:val="20"/>
    </w:rPr>
  </w:style>
  <w:style w:type="character" w:customStyle="1" w:styleId="CommentTextChar">
    <w:name w:val="Comment Text Char"/>
    <w:basedOn w:val="DefaultParagraphFont"/>
    <w:link w:val="CommentText"/>
    <w:uiPriority w:val="99"/>
    <w:semiHidden/>
    <w:rsid w:val="008C614E"/>
    <w:rPr>
      <w:sz w:val="20"/>
      <w:szCs w:val="20"/>
    </w:rPr>
  </w:style>
  <w:style w:type="paragraph" w:styleId="CommentSubject">
    <w:name w:val="annotation subject"/>
    <w:basedOn w:val="CommentText"/>
    <w:next w:val="CommentText"/>
    <w:link w:val="CommentSubjectChar"/>
    <w:uiPriority w:val="99"/>
    <w:semiHidden/>
    <w:unhideWhenUsed/>
    <w:rsid w:val="008C614E"/>
    <w:rPr>
      <w:b/>
      <w:bCs/>
    </w:rPr>
  </w:style>
  <w:style w:type="character" w:customStyle="1" w:styleId="CommentSubjectChar">
    <w:name w:val="Comment Subject Char"/>
    <w:basedOn w:val="CommentTextChar"/>
    <w:link w:val="CommentSubject"/>
    <w:uiPriority w:val="99"/>
    <w:semiHidden/>
    <w:rsid w:val="008C614E"/>
    <w:rPr>
      <w:b/>
      <w:bCs/>
      <w:sz w:val="20"/>
      <w:szCs w:val="20"/>
    </w:rPr>
  </w:style>
  <w:style w:type="paragraph" w:styleId="FootnoteText">
    <w:name w:val="footnote text"/>
    <w:basedOn w:val="Normal"/>
    <w:link w:val="FootnoteTextChar"/>
    <w:uiPriority w:val="99"/>
    <w:semiHidden/>
    <w:unhideWhenUsed/>
    <w:rsid w:val="00AE18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889"/>
    <w:rPr>
      <w:sz w:val="20"/>
      <w:szCs w:val="20"/>
    </w:rPr>
  </w:style>
  <w:style w:type="character" w:styleId="FootnoteReference">
    <w:name w:val="footnote reference"/>
    <w:basedOn w:val="DefaultParagraphFont"/>
    <w:uiPriority w:val="99"/>
    <w:semiHidden/>
    <w:unhideWhenUsed/>
    <w:rsid w:val="00AE1889"/>
    <w:rPr>
      <w:vertAlign w:val="superscript"/>
    </w:rPr>
  </w:style>
  <w:style w:type="character" w:styleId="FollowedHyperlink">
    <w:name w:val="FollowedHyperlink"/>
    <w:basedOn w:val="DefaultParagraphFont"/>
    <w:uiPriority w:val="99"/>
    <w:semiHidden/>
    <w:unhideWhenUsed/>
    <w:rsid w:val="00AE1889"/>
    <w:rPr>
      <w:color w:val="954F72" w:themeColor="followedHyperlink"/>
      <w:u w:val="single"/>
    </w:rPr>
  </w:style>
  <w:style w:type="character" w:customStyle="1" w:styleId="cf01">
    <w:name w:val="cf01"/>
    <w:basedOn w:val="DefaultParagraphFont"/>
    <w:rsid w:val="007B5F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6309">
      <w:bodyDiv w:val="1"/>
      <w:marLeft w:val="0"/>
      <w:marRight w:val="0"/>
      <w:marTop w:val="0"/>
      <w:marBottom w:val="0"/>
      <w:divBdr>
        <w:top w:val="none" w:sz="0" w:space="0" w:color="auto"/>
        <w:left w:val="none" w:sz="0" w:space="0" w:color="auto"/>
        <w:bottom w:val="none" w:sz="0" w:space="0" w:color="auto"/>
        <w:right w:val="none" w:sz="0" w:space="0" w:color="auto"/>
      </w:divBdr>
    </w:div>
    <w:div w:id="307318479">
      <w:bodyDiv w:val="1"/>
      <w:marLeft w:val="0"/>
      <w:marRight w:val="0"/>
      <w:marTop w:val="0"/>
      <w:marBottom w:val="0"/>
      <w:divBdr>
        <w:top w:val="none" w:sz="0" w:space="0" w:color="auto"/>
        <w:left w:val="none" w:sz="0" w:space="0" w:color="auto"/>
        <w:bottom w:val="none" w:sz="0" w:space="0" w:color="auto"/>
        <w:right w:val="none" w:sz="0" w:space="0" w:color="auto"/>
      </w:divBdr>
    </w:div>
    <w:div w:id="324864112">
      <w:bodyDiv w:val="1"/>
      <w:marLeft w:val="0"/>
      <w:marRight w:val="0"/>
      <w:marTop w:val="0"/>
      <w:marBottom w:val="0"/>
      <w:divBdr>
        <w:top w:val="none" w:sz="0" w:space="0" w:color="auto"/>
        <w:left w:val="none" w:sz="0" w:space="0" w:color="auto"/>
        <w:bottom w:val="none" w:sz="0" w:space="0" w:color="auto"/>
        <w:right w:val="none" w:sz="0" w:space="0" w:color="auto"/>
      </w:divBdr>
    </w:div>
    <w:div w:id="402719000">
      <w:bodyDiv w:val="1"/>
      <w:marLeft w:val="0"/>
      <w:marRight w:val="0"/>
      <w:marTop w:val="0"/>
      <w:marBottom w:val="0"/>
      <w:divBdr>
        <w:top w:val="none" w:sz="0" w:space="0" w:color="auto"/>
        <w:left w:val="none" w:sz="0" w:space="0" w:color="auto"/>
        <w:bottom w:val="none" w:sz="0" w:space="0" w:color="auto"/>
        <w:right w:val="none" w:sz="0" w:space="0" w:color="auto"/>
      </w:divBdr>
    </w:div>
    <w:div w:id="407656959">
      <w:bodyDiv w:val="1"/>
      <w:marLeft w:val="0"/>
      <w:marRight w:val="0"/>
      <w:marTop w:val="0"/>
      <w:marBottom w:val="0"/>
      <w:divBdr>
        <w:top w:val="none" w:sz="0" w:space="0" w:color="auto"/>
        <w:left w:val="none" w:sz="0" w:space="0" w:color="auto"/>
        <w:bottom w:val="none" w:sz="0" w:space="0" w:color="auto"/>
        <w:right w:val="none" w:sz="0" w:space="0" w:color="auto"/>
      </w:divBdr>
    </w:div>
    <w:div w:id="686522170">
      <w:bodyDiv w:val="1"/>
      <w:marLeft w:val="0"/>
      <w:marRight w:val="0"/>
      <w:marTop w:val="0"/>
      <w:marBottom w:val="0"/>
      <w:divBdr>
        <w:top w:val="none" w:sz="0" w:space="0" w:color="auto"/>
        <w:left w:val="none" w:sz="0" w:space="0" w:color="auto"/>
        <w:bottom w:val="none" w:sz="0" w:space="0" w:color="auto"/>
        <w:right w:val="none" w:sz="0" w:space="0" w:color="auto"/>
      </w:divBdr>
    </w:div>
    <w:div w:id="815998661">
      <w:bodyDiv w:val="1"/>
      <w:marLeft w:val="0"/>
      <w:marRight w:val="0"/>
      <w:marTop w:val="0"/>
      <w:marBottom w:val="0"/>
      <w:divBdr>
        <w:top w:val="none" w:sz="0" w:space="0" w:color="auto"/>
        <w:left w:val="none" w:sz="0" w:space="0" w:color="auto"/>
        <w:bottom w:val="none" w:sz="0" w:space="0" w:color="auto"/>
        <w:right w:val="none" w:sz="0" w:space="0" w:color="auto"/>
      </w:divBdr>
    </w:div>
    <w:div w:id="866410803">
      <w:bodyDiv w:val="1"/>
      <w:marLeft w:val="0"/>
      <w:marRight w:val="0"/>
      <w:marTop w:val="0"/>
      <w:marBottom w:val="0"/>
      <w:divBdr>
        <w:top w:val="none" w:sz="0" w:space="0" w:color="auto"/>
        <w:left w:val="none" w:sz="0" w:space="0" w:color="auto"/>
        <w:bottom w:val="none" w:sz="0" w:space="0" w:color="auto"/>
        <w:right w:val="none" w:sz="0" w:space="0" w:color="auto"/>
      </w:divBdr>
    </w:div>
    <w:div w:id="1038092325">
      <w:bodyDiv w:val="1"/>
      <w:marLeft w:val="0"/>
      <w:marRight w:val="0"/>
      <w:marTop w:val="0"/>
      <w:marBottom w:val="0"/>
      <w:divBdr>
        <w:top w:val="none" w:sz="0" w:space="0" w:color="auto"/>
        <w:left w:val="none" w:sz="0" w:space="0" w:color="auto"/>
        <w:bottom w:val="none" w:sz="0" w:space="0" w:color="auto"/>
        <w:right w:val="none" w:sz="0" w:space="0" w:color="auto"/>
      </w:divBdr>
    </w:div>
    <w:div w:id="1112817573">
      <w:bodyDiv w:val="1"/>
      <w:marLeft w:val="0"/>
      <w:marRight w:val="0"/>
      <w:marTop w:val="0"/>
      <w:marBottom w:val="0"/>
      <w:divBdr>
        <w:top w:val="none" w:sz="0" w:space="0" w:color="auto"/>
        <w:left w:val="none" w:sz="0" w:space="0" w:color="auto"/>
        <w:bottom w:val="none" w:sz="0" w:space="0" w:color="auto"/>
        <w:right w:val="none" w:sz="0" w:space="0" w:color="auto"/>
      </w:divBdr>
    </w:div>
    <w:div w:id="1139692473">
      <w:bodyDiv w:val="1"/>
      <w:marLeft w:val="0"/>
      <w:marRight w:val="0"/>
      <w:marTop w:val="0"/>
      <w:marBottom w:val="0"/>
      <w:divBdr>
        <w:top w:val="none" w:sz="0" w:space="0" w:color="auto"/>
        <w:left w:val="none" w:sz="0" w:space="0" w:color="auto"/>
        <w:bottom w:val="none" w:sz="0" w:space="0" w:color="auto"/>
        <w:right w:val="none" w:sz="0" w:space="0" w:color="auto"/>
      </w:divBdr>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 w:id="1395928706">
      <w:bodyDiv w:val="1"/>
      <w:marLeft w:val="0"/>
      <w:marRight w:val="0"/>
      <w:marTop w:val="0"/>
      <w:marBottom w:val="0"/>
      <w:divBdr>
        <w:top w:val="none" w:sz="0" w:space="0" w:color="auto"/>
        <w:left w:val="none" w:sz="0" w:space="0" w:color="auto"/>
        <w:bottom w:val="none" w:sz="0" w:space="0" w:color="auto"/>
        <w:right w:val="none" w:sz="0" w:space="0" w:color="auto"/>
      </w:divBdr>
    </w:div>
    <w:div w:id="1933735881">
      <w:bodyDiv w:val="1"/>
      <w:marLeft w:val="0"/>
      <w:marRight w:val="0"/>
      <w:marTop w:val="0"/>
      <w:marBottom w:val="0"/>
      <w:divBdr>
        <w:top w:val="none" w:sz="0" w:space="0" w:color="auto"/>
        <w:left w:val="none" w:sz="0" w:space="0" w:color="auto"/>
        <w:bottom w:val="none" w:sz="0" w:space="0" w:color="auto"/>
        <w:right w:val="none" w:sz="0" w:space="0" w:color="auto"/>
      </w:divBdr>
    </w:div>
    <w:div w:id="198226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Abram, Peter</cp:lastModifiedBy>
  <cp:revision>13</cp:revision>
  <dcterms:created xsi:type="dcterms:W3CDTF">2023-08-01T09:01:00Z</dcterms:created>
  <dcterms:modified xsi:type="dcterms:W3CDTF">2023-08-30T10:10:00Z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