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402"/>
        <w:gridCol w:w="2976"/>
      </w:tblGrid>
      <w:tr w:rsidR="00802EBC" w14:paraId="283612CE" w14:textId="59544AC3" w:rsidTr="00802EBC">
        <w:tc>
          <w:tcPr>
            <w:tcW w:w="3261" w:type="dxa"/>
          </w:tcPr>
          <w:p w14:paraId="18533FDF" w14:textId="77777777" w:rsidR="00802EBC" w:rsidRDefault="00802EBC" w:rsidP="00EA4317">
            <w:pPr>
              <w:jc w:val="center"/>
              <w:rPr>
                <w:b/>
                <w:noProof/>
                <w:color w:val="1D428A"/>
                <w:sz w:val="24"/>
                <w:szCs w:val="24"/>
                <w:lang w:val="en-GB" w:eastAsia="en-GB"/>
              </w:rPr>
            </w:pPr>
            <w:r w:rsidRPr="00B826A0">
              <w:rPr>
                <w:noProof/>
                <w:lang w:val="en-GB" w:eastAsia="en-GB"/>
              </w:rPr>
              <w:drawing>
                <wp:anchor distT="0" distB="0" distL="114300" distR="114300" simplePos="0" relativeHeight="251663360" behindDoc="0" locked="0" layoutInCell="1" allowOverlap="1" wp14:anchorId="36D4A3EA" wp14:editId="19AEC321">
                  <wp:simplePos x="0" y="0"/>
                  <wp:positionH relativeFrom="column">
                    <wp:posOffset>53975</wp:posOffset>
                  </wp:positionH>
                  <wp:positionV relativeFrom="paragraph">
                    <wp:posOffset>0</wp:posOffset>
                  </wp:positionV>
                  <wp:extent cx="911225" cy="1077595"/>
                  <wp:effectExtent l="0" t="0" r="317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225" cy="1077595"/>
                          </a:xfrm>
                          <a:prstGeom prst="rect">
                            <a:avLst/>
                          </a:prstGeom>
                        </pic:spPr>
                      </pic:pic>
                    </a:graphicData>
                  </a:graphic>
                  <wp14:sizeRelH relativeFrom="page">
                    <wp14:pctWidth>0</wp14:pctWidth>
                  </wp14:sizeRelH>
                  <wp14:sizeRelV relativeFrom="page">
                    <wp14:pctHeight>0</wp14:pctHeight>
                  </wp14:sizeRelV>
                </wp:anchor>
              </w:drawing>
            </w:r>
          </w:p>
          <w:p w14:paraId="4CC61618" w14:textId="77777777" w:rsidR="00802EBC" w:rsidRDefault="00802EBC" w:rsidP="00EA4317">
            <w:pPr>
              <w:jc w:val="center"/>
              <w:rPr>
                <w:b/>
                <w:noProof/>
                <w:color w:val="1D428A"/>
                <w:sz w:val="24"/>
                <w:szCs w:val="24"/>
                <w:lang w:val="en-GB" w:eastAsia="en-GB"/>
              </w:rPr>
            </w:pPr>
          </w:p>
          <w:p w14:paraId="664A6684" w14:textId="77777777" w:rsidR="00802EBC" w:rsidRDefault="00802EBC" w:rsidP="00EA4317">
            <w:pPr>
              <w:jc w:val="center"/>
              <w:rPr>
                <w:b/>
                <w:noProof/>
                <w:color w:val="1D428A"/>
                <w:sz w:val="24"/>
                <w:szCs w:val="24"/>
                <w:lang w:val="en-GB" w:eastAsia="en-GB"/>
              </w:rPr>
            </w:pPr>
          </w:p>
        </w:tc>
        <w:tc>
          <w:tcPr>
            <w:tcW w:w="3402" w:type="dxa"/>
          </w:tcPr>
          <w:p w14:paraId="4F4BC0F3" w14:textId="7238B16E" w:rsidR="00802EBC" w:rsidRDefault="00802EBC" w:rsidP="00B125DD">
            <w:pPr>
              <w:rPr>
                <w:b/>
                <w:noProof/>
                <w:color w:val="1D428A"/>
                <w:sz w:val="24"/>
                <w:szCs w:val="24"/>
                <w:lang w:val="en-GB" w:eastAsia="en-GB"/>
              </w:rPr>
            </w:pPr>
            <w:r>
              <w:rPr>
                <w:b/>
                <w:noProof/>
                <w:color w:val="1D428A"/>
                <w:sz w:val="24"/>
                <w:szCs w:val="24"/>
                <w:lang w:val="en-GB" w:eastAsia="en-GB"/>
              </w:rPr>
              <w:t xml:space="preserve">         </w:t>
            </w:r>
            <w:r w:rsidR="00B125DD">
              <w:rPr>
                <w:rFonts w:ascii="Calibri" w:hAnsi="Calibri" w:cs="Calibri"/>
                <w:noProof/>
                <w:color w:val="7FBE0E"/>
                <w:sz w:val="52"/>
                <w:szCs w:val="52"/>
                <w:lang w:val="en-GB" w:eastAsia="en-GB"/>
              </w:rPr>
              <w:drawing>
                <wp:inline distT="0" distB="0" distL="0" distR="0" wp14:anchorId="3F8FB224" wp14:editId="6D9C57FE">
                  <wp:extent cx="1130705" cy="1047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3036" cy="1049910"/>
                          </a:xfrm>
                          <a:prstGeom prst="rect">
                            <a:avLst/>
                          </a:prstGeom>
                        </pic:spPr>
                      </pic:pic>
                    </a:graphicData>
                  </a:graphic>
                </wp:inline>
              </w:drawing>
            </w:r>
            <w:r>
              <w:rPr>
                <w:b/>
                <w:noProof/>
                <w:color w:val="1D428A"/>
                <w:sz w:val="24"/>
                <w:szCs w:val="24"/>
                <w:lang w:val="en-GB" w:eastAsia="en-GB"/>
              </w:rPr>
              <w:t xml:space="preserve">               </w:t>
            </w:r>
          </w:p>
        </w:tc>
        <w:tc>
          <w:tcPr>
            <w:tcW w:w="2976" w:type="dxa"/>
          </w:tcPr>
          <w:p w14:paraId="4EDCB4A3" w14:textId="72453293" w:rsidR="00802EBC" w:rsidRDefault="00802EBC" w:rsidP="00802EBC">
            <w:pPr>
              <w:jc w:val="right"/>
              <w:rPr>
                <w:b/>
                <w:noProof/>
                <w:color w:val="1D428A"/>
                <w:sz w:val="24"/>
                <w:szCs w:val="24"/>
                <w:lang w:val="en-GB" w:eastAsia="en-GB"/>
              </w:rPr>
            </w:pPr>
            <w:r>
              <w:rPr>
                <w:b/>
                <w:noProof/>
                <w:color w:val="1D428A"/>
                <w:sz w:val="24"/>
                <w:szCs w:val="24"/>
                <w:lang w:val="en-GB" w:eastAsia="en-GB"/>
              </w:rPr>
              <w:drawing>
                <wp:inline distT="0" distB="0" distL="0" distR="0" wp14:anchorId="63B2319A" wp14:editId="0661D1E4">
                  <wp:extent cx="1141379" cy="1141379"/>
                  <wp:effectExtent l="0" t="0" r="1905" b="1905"/>
                  <wp:docPr id="1" name="Picture 1" descr="A picture containing text, gear, metal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ear, metalwar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962" cy="1143962"/>
                          </a:xfrm>
                          <a:prstGeom prst="rect">
                            <a:avLst/>
                          </a:prstGeom>
                        </pic:spPr>
                      </pic:pic>
                    </a:graphicData>
                  </a:graphic>
                </wp:inline>
              </w:drawing>
            </w:r>
          </w:p>
        </w:tc>
      </w:tr>
    </w:tbl>
    <w:p w14:paraId="53FBD054" w14:textId="223678A5" w:rsidR="00045720" w:rsidRPr="00BE641F" w:rsidRDefault="00045720">
      <w:pPr>
        <w:rPr>
          <w:rFonts w:asciiTheme="minorHAnsi" w:hAnsiTheme="minorHAnsi" w:cs="Calibri"/>
          <w:sz w:val="22"/>
          <w:szCs w:val="22"/>
          <w:highlight w:val="yellow"/>
          <w:lang w:val="en-GB"/>
        </w:rPr>
      </w:pPr>
    </w:p>
    <w:p w14:paraId="424CFF98" w14:textId="77777777" w:rsidR="00E93493" w:rsidRPr="00BE641F" w:rsidRDefault="00E93493" w:rsidP="00E93493">
      <w:pPr>
        <w:jc w:val="both"/>
        <w:rPr>
          <w:rFonts w:ascii="Calibri" w:eastAsia="Times New Roman" w:hAnsi="Calibri" w:cs="Arial"/>
          <w:b/>
          <w:bCs/>
          <w:color w:val="1D428A"/>
          <w:sz w:val="28"/>
          <w:szCs w:val="28"/>
          <w:lang w:val="en-GB" w:eastAsia="en-US"/>
        </w:rPr>
      </w:pPr>
      <w:r w:rsidRPr="00BE641F">
        <w:rPr>
          <w:rFonts w:ascii="Calibri" w:eastAsia="Times New Roman" w:hAnsi="Calibri" w:cs="Arial"/>
          <w:b/>
          <w:bCs/>
          <w:color w:val="1D428A"/>
          <w:sz w:val="28"/>
          <w:szCs w:val="28"/>
          <w:lang w:val="en-GB" w:eastAsia="en-US"/>
        </w:rPr>
        <w:t>Joint Audit Committee - Terms of Reference</w:t>
      </w:r>
    </w:p>
    <w:p w14:paraId="1EF644A9" w14:textId="77777777" w:rsidR="00E93493" w:rsidRPr="00BE641F" w:rsidRDefault="00E93493" w:rsidP="00E93493">
      <w:pPr>
        <w:jc w:val="both"/>
        <w:rPr>
          <w:rFonts w:ascii="Calibri" w:eastAsia="Calibri" w:hAnsi="Calibri" w:cs="Arial"/>
          <w:b/>
          <w:sz w:val="24"/>
          <w:szCs w:val="24"/>
          <w:u w:val="single"/>
          <w:lang w:val="en-GB" w:eastAsia="en-US"/>
        </w:rPr>
      </w:pPr>
    </w:p>
    <w:p w14:paraId="68B4C416" w14:textId="77777777" w:rsidR="00E93493" w:rsidRPr="00BE641F" w:rsidRDefault="00E93493" w:rsidP="00245A2F">
      <w:pPr>
        <w:pStyle w:val="ListParagraph"/>
        <w:numPr>
          <w:ilvl w:val="0"/>
          <w:numId w:val="20"/>
        </w:numPr>
        <w:spacing w:line="360" w:lineRule="auto"/>
        <w:jc w:val="both"/>
        <w:rPr>
          <w:rFonts w:asciiTheme="minorHAnsi" w:eastAsia="Calibri" w:hAnsiTheme="minorHAnsi" w:cstheme="minorHAnsi"/>
          <w:b/>
          <w:color w:val="1D428A"/>
          <w:lang w:val="en-GB"/>
        </w:rPr>
      </w:pPr>
      <w:r w:rsidRPr="00BE641F">
        <w:rPr>
          <w:rFonts w:asciiTheme="minorHAnsi" w:eastAsia="Calibri" w:hAnsiTheme="minorHAnsi" w:cstheme="minorHAnsi"/>
          <w:b/>
          <w:color w:val="1D428A"/>
          <w:lang w:val="en-GB"/>
        </w:rPr>
        <w:t>Statement of Purpose</w:t>
      </w:r>
    </w:p>
    <w:p w14:paraId="6E9C5438" w14:textId="7B58AD7C" w:rsidR="003F6315" w:rsidRDefault="00E93493" w:rsidP="00245A2F">
      <w:pPr>
        <w:widowControl w:val="0"/>
        <w:numPr>
          <w:ilvl w:val="1"/>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Our </w:t>
      </w:r>
      <w:r w:rsidRPr="00BE641F">
        <w:rPr>
          <w:rFonts w:asciiTheme="minorHAnsi" w:eastAsia="Times New Roman" w:hAnsiTheme="minorHAnsi" w:cstheme="minorHAnsi"/>
          <w:b/>
          <w:sz w:val="22"/>
          <w:szCs w:val="22"/>
          <w:lang w:val="en-GB" w:eastAsia="en-GB"/>
        </w:rPr>
        <w:t>Joint Audit Committee</w:t>
      </w:r>
      <w:r w:rsidRPr="00BE641F">
        <w:rPr>
          <w:rFonts w:asciiTheme="minorHAnsi" w:eastAsia="Times New Roman" w:hAnsiTheme="minorHAnsi" w:cstheme="minorHAnsi"/>
          <w:sz w:val="22"/>
          <w:szCs w:val="22"/>
          <w:lang w:val="en-GB" w:eastAsia="en-GB"/>
        </w:rPr>
        <w:t xml:space="preserve"> </w:t>
      </w:r>
      <w:r w:rsidR="0026254F">
        <w:rPr>
          <w:rFonts w:asciiTheme="minorHAnsi" w:eastAsia="Times New Roman" w:hAnsiTheme="minorHAnsi" w:cstheme="minorHAnsi"/>
          <w:sz w:val="22"/>
          <w:szCs w:val="22"/>
          <w:lang w:val="en-GB" w:eastAsia="en-GB"/>
        </w:rPr>
        <w:t>covers the</w:t>
      </w:r>
      <w:r w:rsidR="003F6315">
        <w:rPr>
          <w:rFonts w:asciiTheme="minorHAnsi" w:eastAsia="Times New Roman" w:hAnsiTheme="minorHAnsi" w:cstheme="minorHAnsi"/>
          <w:sz w:val="22"/>
          <w:szCs w:val="22"/>
          <w:lang w:val="en-GB" w:eastAsia="en-GB"/>
        </w:rPr>
        <w:t xml:space="preserve"> following</w:t>
      </w:r>
      <w:r w:rsidR="0026254F">
        <w:rPr>
          <w:rFonts w:asciiTheme="minorHAnsi" w:eastAsia="Times New Roman" w:hAnsiTheme="minorHAnsi" w:cstheme="minorHAnsi"/>
          <w:sz w:val="22"/>
          <w:szCs w:val="22"/>
          <w:lang w:val="en-GB" w:eastAsia="en-GB"/>
        </w:rPr>
        <w:t xml:space="preserve"> three separate legal entities</w:t>
      </w:r>
      <w:r w:rsidR="003F6315">
        <w:rPr>
          <w:rFonts w:asciiTheme="minorHAnsi" w:eastAsia="Times New Roman" w:hAnsiTheme="minorHAnsi" w:cstheme="minorHAnsi"/>
          <w:sz w:val="22"/>
          <w:szCs w:val="22"/>
          <w:lang w:val="en-GB" w:eastAsia="en-GB"/>
        </w:rPr>
        <w:t>:</w:t>
      </w:r>
    </w:p>
    <w:p w14:paraId="37EE1870" w14:textId="77777777" w:rsidR="003F6315" w:rsidRDefault="0026254F" w:rsidP="003F6315">
      <w:pPr>
        <w:widowControl w:val="0"/>
        <w:numPr>
          <w:ilvl w:val="2"/>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Pr>
          <w:rFonts w:asciiTheme="minorHAnsi" w:eastAsia="Times New Roman" w:hAnsiTheme="minorHAnsi" w:cstheme="minorHAnsi"/>
          <w:sz w:val="22"/>
          <w:szCs w:val="22"/>
          <w:lang w:val="en-GB" w:eastAsia="en-GB"/>
        </w:rPr>
        <w:t>The Police and C</w:t>
      </w:r>
      <w:r w:rsidR="003F6315">
        <w:rPr>
          <w:rFonts w:asciiTheme="minorHAnsi" w:eastAsia="Times New Roman" w:hAnsiTheme="minorHAnsi" w:cstheme="minorHAnsi"/>
          <w:sz w:val="22"/>
          <w:szCs w:val="22"/>
          <w:lang w:val="en-GB" w:eastAsia="en-GB"/>
        </w:rPr>
        <w:t xml:space="preserve">rime Commissioner for Cumbria, </w:t>
      </w:r>
    </w:p>
    <w:p w14:paraId="66439437" w14:textId="77777777" w:rsidR="003F6315" w:rsidRDefault="003F6315" w:rsidP="003F6315">
      <w:pPr>
        <w:widowControl w:val="0"/>
        <w:numPr>
          <w:ilvl w:val="2"/>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Pr>
          <w:rFonts w:asciiTheme="minorHAnsi" w:eastAsia="Times New Roman" w:hAnsiTheme="minorHAnsi" w:cstheme="minorHAnsi"/>
          <w:sz w:val="22"/>
          <w:szCs w:val="22"/>
          <w:lang w:val="en-GB" w:eastAsia="en-GB"/>
        </w:rPr>
        <w:t>The Chief Constable of Cumbria Constabulary,</w:t>
      </w:r>
    </w:p>
    <w:p w14:paraId="77501E3C" w14:textId="77777777" w:rsidR="003F6315" w:rsidRDefault="003F6315" w:rsidP="003F6315">
      <w:pPr>
        <w:widowControl w:val="0"/>
        <w:numPr>
          <w:ilvl w:val="2"/>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Pr>
          <w:rFonts w:asciiTheme="minorHAnsi" w:eastAsia="Times New Roman" w:hAnsiTheme="minorHAnsi" w:cstheme="minorHAnsi"/>
          <w:sz w:val="22"/>
          <w:szCs w:val="22"/>
          <w:lang w:val="en-GB" w:eastAsia="en-GB"/>
        </w:rPr>
        <w:t>Cumbria Commissioner Fire and Rescue Authority (CCFRA)</w:t>
      </w:r>
    </w:p>
    <w:p w14:paraId="79D35EC6" w14:textId="3EB1CFEA" w:rsidR="00E93493" w:rsidRPr="003F6315" w:rsidRDefault="003F6315" w:rsidP="00FA29D1">
      <w:pPr>
        <w:widowControl w:val="0"/>
        <w:autoSpaceDE w:val="0"/>
        <w:autoSpaceDN w:val="0"/>
        <w:adjustRightInd w:val="0"/>
        <w:spacing w:line="360" w:lineRule="auto"/>
        <w:ind w:left="720"/>
        <w:jc w:val="both"/>
        <w:rPr>
          <w:rFonts w:asciiTheme="minorHAnsi" w:eastAsia="Times New Roman" w:hAnsiTheme="minorHAnsi" w:cstheme="minorHAnsi"/>
          <w:sz w:val="22"/>
          <w:szCs w:val="22"/>
          <w:lang w:val="en-GB" w:eastAsia="en-GB"/>
        </w:rPr>
      </w:pPr>
      <w:r>
        <w:rPr>
          <w:rFonts w:asciiTheme="minorHAnsi" w:eastAsia="Times New Roman" w:hAnsiTheme="minorHAnsi" w:cstheme="minorHAnsi"/>
          <w:sz w:val="22"/>
          <w:szCs w:val="22"/>
          <w:lang w:val="en-GB" w:eastAsia="en-GB"/>
        </w:rPr>
        <w:br/>
        <w:t xml:space="preserve">The Committee </w:t>
      </w:r>
      <w:r w:rsidR="00E93493" w:rsidRPr="003F6315">
        <w:rPr>
          <w:rFonts w:asciiTheme="minorHAnsi" w:eastAsia="Times New Roman" w:hAnsiTheme="minorHAnsi" w:cstheme="minorHAnsi"/>
          <w:sz w:val="22"/>
          <w:szCs w:val="22"/>
          <w:lang w:val="en-GB" w:eastAsia="en-GB"/>
        </w:rPr>
        <w:t>is a key component of</w:t>
      </w:r>
      <w:r>
        <w:rPr>
          <w:rFonts w:asciiTheme="minorHAnsi" w:eastAsia="Times New Roman" w:hAnsiTheme="minorHAnsi" w:cstheme="minorHAnsi"/>
          <w:sz w:val="22"/>
          <w:szCs w:val="22"/>
          <w:lang w:val="en-GB" w:eastAsia="en-GB"/>
        </w:rPr>
        <w:t xml:space="preserve"> the</w:t>
      </w:r>
      <w:r w:rsidR="00802EBC" w:rsidRPr="003F6315">
        <w:rPr>
          <w:rFonts w:asciiTheme="minorHAnsi" w:eastAsia="Times New Roman" w:hAnsiTheme="minorHAnsi" w:cstheme="minorHAnsi"/>
          <w:sz w:val="22"/>
          <w:szCs w:val="22"/>
          <w:lang w:val="en-GB" w:eastAsia="en-GB"/>
        </w:rPr>
        <w:t xml:space="preserve"> </w:t>
      </w:r>
      <w:r w:rsidR="00E93493" w:rsidRPr="001E5C4B">
        <w:rPr>
          <w:rFonts w:asciiTheme="minorHAnsi" w:eastAsia="Times New Roman" w:hAnsiTheme="minorHAnsi" w:cstheme="minorHAnsi"/>
          <w:sz w:val="22"/>
          <w:szCs w:val="22"/>
          <w:lang w:val="en-GB" w:eastAsia="en-GB"/>
        </w:rPr>
        <w:t>arrangements for corporate governance</w:t>
      </w:r>
      <w:r>
        <w:rPr>
          <w:rFonts w:asciiTheme="minorHAnsi" w:eastAsia="Times New Roman" w:hAnsiTheme="minorHAnsi" w:cstheme="minorHAnsi"/>
          <w:sz w:val="22"/>
          <w:szCs w:val="22"/>
          <w:lang w:val="en-GB" w:eastAsia="en-GB"/>
        </w:rPr>
        <w:t xml:space="preserve"> for all three entities</w:t>
      </w:r>
      <w:r w:rsidR="00E93493" w:rsidRPr="003F6315">
        <w:rPr>
          <w:rFonts w:asciiTheme="minorHAnsi" w:eastAsia="Times New Roman" w:hAnsiTheme="minorHAnsi" w:cstheme="minorHAnsi"/>
          <w:sz w:val="22"/>
          <w:szCs w:val="22"/>
          <w:lang w:val="en-GB" w:eastAsia="en-GB"/>
        </w:rPr>
        <w:t>.  It provides an independent and high-level focus on the audit, assurance and reporting arrangements that underpin good governance and financial standards.</w:t>
      </w:r>
    </w:p>
    <w:p w14:paraId="3CE7C984" w14:textId="77777777" w:rsidR="00E93493" w:rsidRPr="00BE641F" w:rsidRDefault="00E93493" w:rsidP="00245A2F">
      <w:pPr>
        <w:widowControl w:val="0"/>
        <w:autoSpaceDE w:val="0"/>
        <w:autoSpaceDN w:val="0"/>
        <w:adjustRightInd w:val="0"/>
        <w:spacing w:line="360" w:lineRule="auto"/>
        <w:ind w:left="244"/>
        <w:jc w:val="both"/>
        <w:rPr>
          <w:rFonts w:asciiTheme="minorHAnsi" w:eastAsia="Times New Roman" w:hAnsiTheme="minorHAnsi" w:cstheme="minorHAnsi"/>
          <w:sz w:val="22"/>
          <w:szCs w:val="22"/>
          <w:highlight w:val="yellow"/>
          <w:lang w:val="en-GB" w:eastAsia="en-GB"/>
        </w:rPr>
      </w:pPr>
    </w:p>
    <w:p w14:paraId="232AA2E6" w14:textId="3E77BF46" w:rsidR="00E93493" w:rsidRPr="00BE641F" w:rsidRDefault="00E93493" w:rsidP="00376AC3">
      <w:pPr>
        <w:widowControl w:val="0"/>
        <w:numPr>
          <w:ilvl w:val="1"/>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The purpose of our </w:t>
      </w:r>
      <w:r w:rsidRPr="00BE641F">
        <w:rPr>
          <w:rFonts w:asciiTheme="minorHAnsi" w:eastAsia="Times New Roman" w:hAnsiTheme="minorHAnsi" w:cstheme="minorHAnsi"/>
          <w:b/>
          <w:sz w:val="22"/>
          <w:szCs w:val="22"/>
          <w:lang w:val="en-GB" w:eastAsia="en-GB"/>
        </w:rPr>
        <w:t>Joint Audit Committee</w:t>
      </w:r>
      <w:r w:rsidRPr="00BE641F">
        <w:rPr>
          <w:rFonts w:asciiTheme="minorHAnsi" w:eastAsia="Times New Roman" w:hAnsiTheme="minorHAnsi" w:cstheme="minorHAnsi"/>
          <w:sz w:val="22"/>
          <w:szCs w:val="22"/>
          <w:lang w:val="en-GB" w:eastAsia="en-GB"/>
        </w:rPr>
        <w:t xml:space="preserve"> is to provide independent advice and recommendation to the Commissioner</w:t>
      </w:r>
      <w:r w:rsidR="00802EBC">
        <w:rPr>
          <w:rFonts w:asciiTheme="minorHAnsi" w:eastAsia="Times New Roman" w:hAnsiTheme="minorHAnsi" w:cstheme="minorHAnsi"/>
          <w:sz w:val="22"/>
          <w:szCs w:val="22"/>
          <w:lang w:val="en-GB" w:eastAsia="en-GB"/>
        </w:rPr>
        <w:t xml:space="preserve">, </w:t>
      </w:r>
      <w:r w:rsidRPr="00BE641F">
        <w:rPr>
          <w:rFonts w:asciiTheme="minorHAnsi" w:eastAsia="Times New Roman" w:hAnsiTheme="minorHAnsi" w:cstheme="minorHAnsi"/>
          <w:sz w:val="22"/>
          <w:szCs w:val="22"/>
          <w:lang w:val="en-GB" w:eastAsia="en-GB"/>
        </w:rPr>
        <w:t>Chief Constable</w:t>
      </w:r>
      <w:r w:rsidR="00802EBC">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 xml:space="preserve"> on the adequacy of the governance and risk management frameworks, the internal control environment and financial reporting, thereby helping to ensure efficient and effective assurance arrangements are in place.  To this end the committee is enabled and required to have oversight of, and to provide independent review of, the effectiveness of the Commissioner</w:t>
      </w:r>
      <w:r w:rsidR="00245A2F" w:rsidRPr="00BE641F">
        <w:rPr>
          <w:rFonts w:asciiTheme="minorHAnsi" w:eastAsia="Times New Roman" w:hAnsiTheme="minorHAnsi" w:cstheme="minorHAnsi"/>
          <w:sz w:val="22"/>
          <w:szCs w:val="22"/>
          <w:lang w:val="en-GB" w:eastAsia="en-GB"/>
        </w:rPr>
        <w:t>’s</w:t>
      </w:r>
      <w:r w:rsidR="00802EBC">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Chief Constable’s</w:t>
      </w:r>
      <w:r w:rsidR="00802EBC">
        <w:rPr>
          <w:rFonts w:asciiTheme="minorHAnsi" w:eastAsia="Times New Roman" w:hAnsiTheme="minorHAnsi" w:cstheme="minorHAnsi"/>
          <w:sz w:val="22"/>
          <w:szCs w:val="22"/>
          <w:lang w:val="en-GB" w:eastAsia="en-GB"/>
        </w:rPr>
        <w:t xml:space="preserve"> and CCFRAs</w:t>
      </w:r>
      <w:r w:rsidRPr="00BE641F">
        <w:rPr>
          <w:rFonts w:asciiTheme="minorHAnsi" w:eastAsia="Times New Roman" w:hAnsiTheme="minorHAnsi" w:cstheme="minorHAnsi"/>
          <w:sz w:val="22"/>
          <w:szCs w:val="22"/>
          <w:lang w:val="en-GB" w:eastAsia="en-GB"/>
        </w:rPr>
        <w:t xml:space="preserve"> governance, risk management and control frameworks, its financial reporting and annual governance processes, and the arrangements for both internal audit and external audit.  </w:t>
      </w:r>
    </w:p>
    <w:p w14:paraId="35B81225" w14:textId="77777777" w:rsidR="00E93493" w:rsidRPr="00BE641F" w:rsidRDefault="00E93493" w:rsidP="00245A2F">
      <w:pPr>
        <w:widowControl w:val="0"/>
        <w:autoSpaceDE w:val="0"/>
        <w:autoSpaceDN w:val="0"/>
        <w:adjustRightInd w:val="0"/>
        <w:spacing w:line="360" w:lineRule="auto"/>
        <w:ind w:left="244"/>
        <w:jc w:val="both"/>
        <w:rPr>
          <w:rFonts w:asciiTheme="minorHAnsi" w:eastAsia="Times New Roman" w:hAnsiTheme="minorHAnsi" w:cstheme="minorHAnsi"/>
          <w:sz w:val="22"/>
          <w:szCs w:val="22"/>
          <w:lang w:val="en-GB" w:eastAsia="en-GB"/>
        </w:rPr>
      </w:pPr>
    </w:p>
    <w:p w14:paraId="719CDEF2" w14:textId="12F1C895" w:rsidR="00E93493" w:rsidRPr="00BE641F" w:rsidRDefault="00E93493" w:rsidP="00376AC3">
      <w:pPr>
        <w:widowControl w:val="0"/>
        <w:numPr>
          <w:ilvl w:val="1"/>
          <w:numId w:val="20"/>
        </w:numPr>
        <w:autoSpaceDE w:val="0"/>
        <w:autoSpaceDN w:val="0"/>
        <w:adjustRightInd w:val="0"/>
        <w:spacing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These terms of reference will summarise the core functions of the </w:t>
      </w:r>
      <w:r w:rsidR="00245A2F" w:rsidRPr="00BE641F">
        <w:rPr>
          <w:rFonts w:asciiTheme="minorHAnsi" w:eastAsia="Times New Roman" w:hAnsiTheme="minorHAnsi" w:cstheme="minorHAnsi"/>
          <w:sz w:val="22"/>
          <w:szCs w:val="22"/>
          <w:lang w:val="en-GB" w:eastAsia="en-GB"/>
        </w:rPr>
        <w:t>c</w:t>
      </w:r>
      <w:r w:rsidRPr="00BE641F">
        <w:rPr>
          <w:rFonts w:asciiTheme="minorHAnsi" w:eastAsia="Times New Roman" w:hAnsiTheme="minorHAnsi" w:cstheme="minorHAnsi"/>
          <w:sz w:val="22"/>
          <w:szCs w:val="22"/>
          <w:lang w:val="en-GB" w:eastAsia="en-GB"/>
        </w:rPr>
        <w:t>ommittee in relation to the Office of the Police and Crime Commissioner (OPCC)</w:t>
      </w:r>
      <w:r w:rsidR="00802EBC">
        <w:rPr>
          <w:rFonts w:asciiTheme="minorHAnsi" w:eastAsia="Times New Roman" w:hAnsiTheme="minorHAnsi" w:cstheme="minorHAnsi"/>
          <w:sz w:val="22"/>
          <w:szCs w:val="22"/>
          <w:lang w:val="en-GB" w:eastAsia="en-GB"/>
        </w:rPr>
        <w:t xml:space="preserve">, </w:t>
      </w:r>
      <w:r w:rsidRPr="00BE641F">
        <w:rPr>
          <w:rFonts w:asciiTheme="minorHAnsi" w:eastAsia="Times New Roman" w:hAnsiTheme="minorHAnsi" w:cstheme="minorHAnsi"/>
          <w:sz w:val="22"/>
          <w:szCs w:val="22"/>
          <w:lang w:val="en-GB" w:eastAsia="en-GB"/>
        </w:rPr>
        <w:t>the Constabulary</w:t>
      </w:r>
      <w:r w:rsidR="00802EBC">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 xml:space="preserve"> and describe the protocols in place to enable it to operate independently, robustly and effectively.</w:t>
      </w:r>
    </w:p>
    <w:p w14:paraId="6D76683D" w14:textId="77777777" w:rsidR="00E93493" w:rsidRPr="00BE641F" w:rsidRDefault="00E93493" w:rsidP="00E93493">
      <w:pPr>
        <w:spacing w:line="360" w:lineRule="auto"/>
        <w:rPr>
          <w:rFonts w:asciiTheme="minorHAnsi" w:eastAsia="Times New Roman" w:hAnsiTheme="minorHAnsi" w:cstheme="minorHAnsi"/>
          <w:sz w:val="22"/>
          <w:szCs w:val="22"/>
          <w:lang w:val="en-GB" w:eastAsia="en-GB"/>
        </w:rPr>
      </w:pPr>
    </w:p>
    <w:p w14:paraId="7289DBCD" w14:textId="77777777" w:rsidR="00E93493" w:rsidRPr="00BE641F" w:rsidRDefault="00E93493" w:rsidP="00245A2F">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color w:val="1D428A"/>
          <w:lang w:val="en-GB" w:eastAsia="en-GB"/>
        </w:rPr>
      </w:pPr>
      <w:r w:rsidRPr="00BE641F">
        <w:rPr>
          <w:rFonts w:asciiTheme="minorHAnsi" w:eastAsia="Times New Roman" w:hAnsiTheme="minorHAnsi" w:cstheme="minorHAnsi"/>
          <w:b/>
          <w:color w:val="1D428A"/>
          <w:lang w:val="en-GB" w:eastAsia="en-GB"/>
        </w:rPr>
        <w:t>Governance, risk and control</w:t>
      </w:r>
    </w:p>
    <w:p w14:paraId="2DC23A30" w14:textId="60A8C209" w:rsidR="00376AC3" w:rsidRPr="00BE641F" w:rsidRDefault="00376AC3" w:rsidP="00376054">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The committee will provide advice and recommendations to the Commissioner</w:t>
      </w:r>
      <w:r w:rsidR="00802EBC">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Chief Constable</w:t>
      </w:r>
      <w:r w:rsidR="0026254F">
        <w:rPr>
          <w:rFonts w:asciiTheme="minorHAnsi" w:eastAsia="Times New Roman" w:hAnsiTheme="minorHAnsi" w:cstheme="minorHAnsi"/>
          <w:sz w:val="22"/>
          <w:szCs w:val="22"/>
          <w:lang w:val="en-GB" w:eastAsia="en-GB"/>
        </w:rPr>
        <w:t xml:space="preserve"> or CCFRA</w:t>
      </w:r>
      <w:r w:rsidRPr="00BE641F">
        <w:rPr>
          <w:rFonts w:asciiTheme="minorHAnsi" w:eastAsia="Times New Roman" w:hAnsiTheme="minorHAnsi" w:cstheme="minorHAnsi"/>
          <w:sz w:val="22"/>
          <w:szCs w:val="22"/>
          <w:lang w:val="en-GB" w:eastAsia="en-GB"/>
        </w:rPr>
        <w:t xml:space="preserve"> in relation to the following areas:</w:t>
      </w:r>
    </w:p>
    <w:p w14:paraId="0F3F20E0"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the corporate governance arrangements against the good governance framework</w:t>
      </w:r>
      <w:r w:rsidR="00376AC3" w:rsidRPr="00BE641F">
        <w:rPr>
          <w:rFonts w:asciiTheme="minorHAnsi" w:eastAsia="Times New Roman" w:hAnsiTheme="minorHAnsi" w:cstheme="minorHAnsi"/>
          <w:sz w:val="22"/>
          <w:szCs w:val="22"/>
          <w:lang w:val="en-GB" w:eastAsia="en-GB"/>
        </w:rPr>
        <w:t>, including the ethical framework and consider the local code of governance.</w:t>
      </w:r>
    </w:p>
    <w:p w14:paraId="03DCF843"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lastRenderedPageBreak/>
        <w:t xml:space="preserve">Review the </w:t>
      </w:r>
      <w:r w:rsidR="00376AC3" w:rsidRPr="00BE641F">
        <w:rPr>
          <w:rFonts w:asciiTheme="minorHAnsi" w:eastAsia="Times New Roman" w:hAnsiTheme="minorHAnsi" w:cstheme="minorHAnsi"/>
          <w:sz w:val="22"/>
          <w:szCs w:val="22"/>
          <w:lang w:val="en-GB" w:eastAsia="en-GB"/>
        </w:rPr>
        <w:t>a</w:t>
      </w:r>
      <w:r w:rsidRPr="00BE641F">
        <w:rPr>
          <w:rFonts w:asciiTheme="minorHAnsi" w:eastAsia="Times New Roman" w:hAnsiTheme="minorHAnsi" w:cstheme="minorHAnsi"/>
          <w:sz w:val="22"/>
          <w:szCs w:val="22"/>
          <w:lang w:val="en-GB" w:eastAsia="en-GB"/>
        </w:rPr>
        <w:t xml:space="preserve">nnual </w:t>
      </w:r>
      <w:r w:rsidR="00376AC3" w:rsidRPr="00BE641F">
        <w:rPr>
          <w:rFonts w:asciiTheme="minorHAnsi" w:eastAsia="Times New Roman" w:hAnsiTheme="minorHAnsi" w:cstheme="minorHAnsi"/>
          <w:sz w:val="22"/>
          <w:szCs w:val="22"/>
          <w:lang w:val="en-GB" w:eastAsia="en-GB"/>
        </w:rPr>
        <w:t>g</w:t>
      </w:r>
      <w:r w:rsidRPr="00BE641F">
        <w:rPr>
          <w:rFonts w:asciiTheme="minorHAnsi" w:eastAsia="Times New Roman" w:hAnsiTheme="minorHAnsi" w:cstheme="minorHAnsi"/>
          <w:sz w:val="22"/>
          <w:szCs w:val="22"/>
          <w:lang w:val="en-GB" w:eastAsia="en-GB"/>
        </w:rPr>
        <w:t xml:space="preserve">overnance </w:t>
      </w:r>
      <w:r w:rsidR="00376AC3" w:rsidRPr="00BE641F">
        <w:rPr>
          <w:rFonts w:asciiTheme="minorHAnsi" w:eastAsia="Times New Roman" w:hAnsiTheme="minorHAnsi" w:cstheme="minorHAnsi"/>
          <w:sz w:val="22"/>
          <w:szCs w:val="22"/>
          <w:lang w:val="en-GB" w:eastAsia="en-GB"/>
        </w:rPr>
        <w:t>s</w:t>
      </w:r>
      <w:r w:rsidRPr="00BE641F">
        <w:rPr>
          <w:rFonts w:asciiTheme="minorHAnsi" w:eastAsia="Times New Roman" w:hAnsiTheme="minorHAnsi" w:cstheme="minorHAnsi"/>
          <w:sz w:val="22"/>
          <w:szCs w:val="22"/>
          <w:lang w:val="en-GB" w:eastAsia="en-GB"/>
        </w:rPr>
        <w:t>tatements prior to approval and consider whether they properly reflect the governance, risk and control environment and supporting assurances and identify any actions required for improvement.</w:t>
      </w:r>
    </w:p>
    <w:p w14:paraId="4F2CCF5F"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the arrangements to secure value for money and review assurances and assessments on the effectiveness of these arrangements.</w:t>
      </w:r>
    </w:p>
    <w:p w14:paraId="051C4FB9" w14:textId="4528BF2B"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the framework of assurance and ensure that it adequately addresses the risks and priorities of the OPCC</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Constabulary</w:t>
      </w:r>
      <w:r w:rsidR="0026254F">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w:t>
      </w:r>
    </w:p>
    <w:p w14:paraId="2A2B2860" w14:textId="473A9DAD"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Monitor the effective development and operation of risk management, review the risk profile, and monitor progress of the </w:t>
      </w:r>
      <w:r w:rsidR="00376AC3" w:rsidRPr="00BE641F">
        <w:rPr>
          <w:rFonts w:asciiTheme="minorHAnsi" w:eastAsia="Times New Roman" w:hAnsiTheme="minorHAnsi" w:cstheme="minorHAnsi"/>
          <w:sz w:val="22"/>
          <w:szCs w:val="22"/>
          <w:lang w:val="en-GB" w:eastAsia="en-GB"/>
        </w:rPr>
        <w:t>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the Chief Constable</w:t>
      </w:r>
      <w:r w:rsidR="0026254F">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 xml:space="preserve"> in addressing risk-related issues reported to them.</w:t>
      </w:r>
    </w:p>
    <w:p w14:paraId="54B8BF3E"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reports on the effectiveness of internal controls and monitor the implementation of agreed actions.</w:t>
      </w:r>
    </w:p>
    <w:p w14:paraId="4E8D9B98"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arrangements for the assessment of fraud risks and potential harm from fraud and corruption and monitor the effectiveness of the counter-fraud strategy, actions and resources.</w:t>
      </w:r>
    </w:p>
    <w:p w14:paraId="2996E98A" w14:textId="0F6F94FD" w:rsidR="00376054" w:rsidRDefault="00376054"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To review the governance and assurance arrangements for significant partnerships or collaborations.</w:t>
      </w:r>
    </w:p>
    <w:p w14:paraId="46B35672" w14:textId="77777777" w:rsidR="00BC64AD" w:rsidRPr="00BE641F" w:rsidRDefault="00BC64AD" w:rsidP="00BC64AD">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p>
    <w:p w14:paraId="58D51F2A" w14:textId="77777777" w:rsidR="00E93493" w:rsidRPr="00BE641F" w:rsidRDefault="00E93493" w:rsidP="00245A2F">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color w:val="1D428A"/>
          <w:lang w:val="en-GB" w:eastAsia="en-GB"/>
        </w:rPr>
      </w:pPr>
      <w:r w:rsidRPr="00BE641F">
        <w:rPr>
          <w:rFonts w:asciiTheme="minorHAnsi" w:eastAsia="Times New Roman" w:hAnsiTheme="minorHAnsi" w:cstheme="minorHAnsi"/>
          <w:b/>
          <w:color w:val="1D428A"/>
          <w:lang w:val="en-GB" w:eastAsia="en-GB"/>
        </w:rPr>
        <w:t>Internal Audit</w:t>
      </w:r>
    </w:p>
    <w:p w14:paraId="03196242" w14:textId="2EBFD382" w:rsidR="0053081B" w:rsidRPr="00BE641F" w:rsidRDefault="0053081B" w:rsidP="00376054">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The committee will provide advice and recommendations to the Commissioner</w:t>
      </w:r>
      <w:r w:rsidR="0026254F">
        <w:rPr>
          <w:rFonts w:asciiTheme="minorHAnsi" w:eastAsia="Times New Roman" w:hAnsiTheme="minorHAnsi" w:cstheme="minorHAnsi"/>
          <w:sz w:val="22"/>
          <w:szCs w:val="22"/>
          <w:lang w:val="en-GB" w:eastAsia="en-GB"/>
        </w:rPr>
        <w:t xml:space="preserve">, </w:t>
      </w:r>
      <w:r w:rsidRPr="00BE641F">
        <w:rPr>
          <w:rFonts w:asciiTheme="minorHAnsi" w:eastAsia="Times New Roman" w:hAnsiTheme="minorHAnsi" w:cstheme="minorHAnsi"/>
          <w:sz w:val="22"/>
          <w:szCs w:val="22"/>
          <w:lang w:val="en-GB" w:eastAsia="en-GB"/>
        </w:rPr>
        <w:t xml:space="preserve"> Chief Constable </w:t>
      </w:r>
      <w:r w:rsidR="0026254F">
        <w:rPr>
          <w:rFonts w:asciiTheme="minorHAnsi" w:eastAsia="Times New Roman" w:hAnsiTheme="minorHAnsi" w:cstheme="minorHAnsi"/>
          <w:sz w:val="22"/>
          <w:szCs w:val="22"/>
          <w:lang w:val="en-GB" w:eastAsia="en-GB"/>
        </w:rPr>
        <w:t xml:space="preserve">or CCFRA </w:t>
      </w:r>
      <w:r w:rsidRPr="00BE641F">
        <w:rPr>
          <w:rFonts w:asciiTheme="minorHAnsi" w:eastAsia="Times New Roman" w:hAnsiTheme="minorHAnsi" w:cstheme="minorHAnsi"/>
          <w:sz w:val="22"/>
          <w:szCs w:val="22"/>
          <w:lang w:val="en-GB" w:eastAsia="en-GB"/>
        </w:rPr>
        <w:t>in relation to the following areas:</w:t>
      </w:r>
    </w:p>
    <w:p w14:paraId="7FDB22D6" w14:textId="77777777"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Annually review the internal audit charter and resources.</w:t>
      </w:r>
    </w:p>
    <w:p w14:paraId="14D47A09" w14:textId="77777777"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the internal audit plan and any proposed revisions to the internal audit plan.</w:t>
      </w:r>
    </w:p>
    <w:p w14:paraId="365A7347" w14:textId="18BE64B9"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Oversee the appointment and consider the adequacy of the performance of the internal audit service and its independence</w:t>
      </w:r>
      <w:r w:rsidR="0026254F">
        <w:rPr>
          <w:rFonts w:asciiTheme="minorHAnsi" w:eastAsia="Times New Roman" w:hAnsiTheme="minorHAnsi" w:cstheme="minorHAnsi"/>
          <w:sz w:val="22"/>
          <w:szCs w:val="22"/>
          <w:lang w:val="en-GB" w:eastAsia="en-GB"/>
        </w:rPr>
        <w:t xml:space="preserve"> in relation to the separate legal entities of the OPCC, Constabulary and CCFRA</w:t>
      </w:r>
      <w:r w:rsidRPr="00BE641F">
        <w:rPr>
          <w:rFonts w:asciiTheme="minorHAnsi" w:eastAsia="Times New Roman" w:hAnsiTheme="minorHAnsi" w:cstheme="minorHAnsi"/>
          <w:sz w:val="22"/>
          <w:szCs w:val="22"/>
          <w:lang w:val="en-GB" w:eastAsia="en-GB"/>
        </w:rPr>
        <w:t>.</w:t>
      </w:r>
    </w:p>
    <w:p w14:paraId="470533A0" w14:textId="1021FE04"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Consider the </w:t>
      </w:r>
      <w:r w:rsidR="0026254F">
        <w:rPr>
          <w:rFonts w:asciiTheme="minorHAnsi" w:eastAsia="Times New Roman" w:hAnsiTheme="minorHAnsi" w:cstheme="minorHAnsi"/>
          <w:sz w:val="22"/>
          <w:szCs w:val="22"/>
          <w:lang w:val="en-GB" w:eastAsia="en-GB"/>
        </w:rPr>
        <w:t>Director of</w:t>
      </w:r>
      <w:r w:rsidRPr="00BE641F">
        <w:rPr>
          <w:rFonts w:asciiTheme="minorHAnsi" w:eastAsia="Times New Roman" w:hAnsiTheme="minorHAnsi" w:cstheme="minorHAnsi"/>
          <w:sz w:val="22"/>
          <w:szCs w:val="22"/>
          <w:lang w:val="en-GB" w:eastAsia="en-GB"/>
        </w:rPr>
        <w:t xml:space="preserve"> </w:t>
      </w:r>
      <w:r w:rsidR="001E5C4B">
        <w:rPr>
          <w:rFonts w:asciiTheme="minorHAnsi" w:eastAsia="Times New Roman" w:hAnsiTheme="minorHAnsi" w:cstheme="minorHAnsi"/>
          <w:sz w:val="22"/>
          <w:szCs w:val="22"/>
          <w:lang w:val="en-GB" w:eastAsia="en-GB"/>
        </w:rPr>
        <w:t xml:space="preserve">Internal </w:t>
      </w:r>
      <w:r w:rsidRPr="00BE641F">
        <w:rPr>
          <w:rFonts w:asciiTheme="minorHAnsi" w:eastAsia="Times New Roman" w:hAnsiTheme="minorHAnsi" w:cstheme="minorHAnsi"/>
          <w:sz w:val="22"/>
          <w:szCs w:val="22"/>
          <w:lang w:val="en-GB" w:eastAsia="en-GB"/>
        </w:rPr>
        <w:t>Audit’s annual report and opinion, and a regular summary of the progress of internal audit activity against the audit plan</w:t>
      </w:r>
      <w:r w:rsidR="0026254F">
        <w:rPr>
          <w:rFonts w:asciiTheme="minorHAnsi" w:eastAsia="Times New Roman" w:hAnsiTheme="minorHAnsi" w:cstheme="minorHAnsi"/>
          <w:sz w:val="22"/>
          <w:szCs w:val="22"/>
          <w:lang w:val="en-GB" w:eastAsia="en-GB"/>
        </w:rPr>
        <w:t>s for both OPCC/Constabulary and CCFRA</w:t>
      </w:r>
      <w:r w:rsidRPr="00BE641F">
        <w:rPr>
          <w:rFonts w:asciiTheme="minorHAnsi" w:eastAsia="Times New Roman" w:hAnsiTheme="minorHAnsi" w:cstheme="minorHAnsi"/>
          <w:sz w:val="22"/>
          <w:szCs w:val="22"/>
          <w:lang w:val="en-GB" w:eastAsia="en-GB"/>
        </w:rPr>
        <w:t>, and the level of assurance it can give over corporate governance arrangements.</w:t>
      </w:r>
    </w:p>
    <w:p w14:paraId="2D9A49E2" w14:textId="031AA67D" w:rsidR="0053081B" w:rsidRPr="00BE641F" w:rsidRDefault="0053081B"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To consider the </w:t>
      </w:r>
      <w:r w:rsidR="0026254F">
        <w:rPr>
          <w:rFonts w:asciiTheme="minorHAnsi" w:eastAsia="Times New Roman" w:hAnsiTheme="minorHAnsi" w:cstheme="minorHAnsi"/>
          <w:sz w:val="22"/>
          <w:szCs w:val="22"/>
          <w:lang w:val="en-GB" w:eastAsia="en-GB"/>
        </w:rPr>
        <w:t>Director of</w:t>
      </w:r>
      <w:r w:rsidRPr="00BE641F">
        <w:rPr>
          <w:rFonts w:asciiTheme="minorHAnsi" w:eastAsia="Times New Roman" w:hAnsiTheme="minorHAnsi" w:cstheme="minorHAnsi"/>
          <w:sz w:val="22"/>
          <w:szCs w:val="22"/>
          <w:lang w:val="en-GB" w:eastAsia="en-GB"/>
        </w:rPr>
        <w:t xml:space="preserve"> </w:t>
      </w:r>
      <w:r w:rsidR="001E5C4B">
        <w:rPr>
          <w:rFonts w:asciiTheme="minorHAnsi" w:eastAsia="Times New Roman" w:hAnsiTheme="minorHAnsi" w:cstheme="minorHAnsi"/>
          <w:sz w:val="22"/>
          <w:szCs w:val="22"/>
          <w:lang w:val="en-GB" w:eastAsia="en-GB"/>
        </w:rPr>
        <w:t xml:space="preserve">Internal </w:t>
      </w:r>
      <w:r w:rsidRPr="00BE641F">
        <w:rPr>
          <w:rFonts w:asciiTheme="minorHAnsi" w:eastAsia="Times New Roman" w:hAnsiTheme="minorHAnsi" w:cstheme="minorHAnsi"/>
          <w:sz w:val="22"/>
          <w:szCs w:val="22"/>
          <w:lang w:val="en-GB" w:eastAsia="en-GB"/>
        </w:rPr>
        <w:t xml:space="preserve">Audit’s statement of the level of conformance with the Public Sector Internal Audit Standards (PSIAS) and Local Government Application Note (LGAN) and the results of the Quality Assurance &amp; Improvement Programme (QAIP) that support the statement – these will </w:t>
      </w:r>
      <w:r w:rsidRPr="00BE641F">
        <w:rPr>
          <w:rFonts w:asciiTheme="minorHAnsi" w:eastAsia="Times New Roman" w:hAnsiTheme="minorHAnsi" w:cstheme="minorHAnsi"/>
          <w:sz w:val="22"/>
          <w:szCs w:val="22"/>
          <w:lang w:val="en-GB" w:eastAsia="en-GB"/>
        </w:rPr>
        <w:lastRenderedPageBreak/>
        <w:t xml:space="preserve">indicate the reliability of the conclusions of internal audit. </w:t>
      </w:r>
    </w:p>
    <w:p w14:paraId="131124E4" w14:textId="3071C461" w:rsidR="00574BFB" w:rsidRPr="00BE641F" w:rsidRDefault="00574BFB"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summaries of internal audit reports and such detailed reports as the committee may request from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Chief Constable</w:t>
      </w:r>
      <w:r w:rsidR="0026254F">
        <w:rPr>
          <w:rFonts w:asciiTheme="minorHAnsi" w:eastAsia="Times New Roman" w:hAnsiTheme="minorHAnsi" w:cstheme="minorHAnsi"/>
          <w:sz w:val="22"/>
          <w:szCs w:val="22"/>
          <w:lang w:val="en-GB" w:eastAsia="en-GB"/>
        </w:rPr>
        <w:t xml:space="preserve"> or CCFRA</w:t>
      </w:r>
      <w:r w:rsidRPr="00BE641F">
        <w:rPr>
          <w:rFonts w:asciiTheme="minorHAnsi" w:eastAsia="Times New Roman" w:hAnsiTheme="minorHAnsi" w:cstheme="minorHAnsi"/>
          <w:sz w:val="22"/>
          <w:szCs w:val="22"/>
          <w:lang w:val="en-GB" w:eastAsia="en-GB"/>
        </w:rPr>
        <w:t>, including issued raised or recommendations made by the internal audit service, management response and progress with agreed actions.</w:t>
      </w:r>
    </w:p>
    <w:p w14:paraId="13C104BD" w14:textId="4B9B00A0"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a report on the effectiveness of internal audit to support the Annual Governance Statement</w:t>
      </w:r>
      <w:r w:rsidR="0026254F">
        <w:rPr>
          <w:rFonts w:asciiTheme="minorHAnsi" w:eastAsia="Times New Roman" w:hAnsiTheme="minorHAnsi" w:cstheme="minorHAnsi"/>
          <w:sz w:val="22"/>
          <w:szCs w:val="22"/>
          <w:lang w:val="en-GB" w:eastAsia="en-GB"/>
        </w:rPr>
        <w:t>s</w:t>
      </w:r>
      <w:r w:rsidRPr="00BE641F">
        <w:rPr>
          <w:rFonts w:asciiTheme="minorHAnsi" w:eastAsia="Times New Roman" w:hAnsiTheme="minorHAnsi" w:cstheme="minorHAnsi"/>
          <w:sz w:val="22"/>
          <w:szCs w:val="22"/>
          <w:lang w:val="en-GB" w:eastAsia="en-GB"/>
        </w:rPr>
        <w:t>.</w:t>
      </w:r>
    </w:p>
    <w:p w14:paraId="6EDF8C31" w14:textId="4773E62C" w:rsidR="00574BFB" w:rsidRDefault="00574BFB"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To consider any impairments to independence or objectivity arising from additional roles or responsibilities outside of internal auditing of the </w:t>
      </w:r>
      <w:r w:rsidR="0026254F">
        <w:rPr>
          <w:rFonts w:asciiTheme="minorHAnsi" w:eastAsia="Times New Roman" w:hAnsiTheme="minorHAnsi" w:cstheme="minorHAnsi"/>
          <w:sz w:val="22"/>
          <w:szCs w:val="22"/>
          <w:lang w:val="en-GB" w:eastAsia="en-GB"/>
        </w:rPr>
        <w:t>Director of</w:t>
      </w:r>
      <w:r w:rsidRPr="00BE641F">
        <w:rPr>
          <w:rFonts w:asciiTheme="minorHAnsi" w:eastAsia="Times New Roman" w:hAnsiTheme="minorHAnsi" w:cstheme="minorHAnsi"/>
          <w:sz w:val="22"/>
          <w:szCs w:val="22"/>
          <w:lang w:val="en-GB" w:eastAsia="en-GB"/>
        </w:rPr>
        <w:t xml:space="preserve"> </w:t>
      </w:r>
      <w:r w:rsidR="001E5C4B">
        <w:rPr>
          <w:rFonts w:asciiTheme="minorHAnsi" w:eastAsia="Times New Roman" w:hAnsiTheme="minorHAnsi" w:cstheme="minorHAnsi"/>
          <w:sz w:val="22"/>
          <w:szCs w:val="22"/>
          <w:lang w:val="en-GB" w:eastAsia="en-GB"/>
        </w:rPr>
        <w:t xml:space="preserve">Internal </w:t>
      </w:r>
      <w:r w:rsidRPr="00BE641F">
        <w:rPr>
          <w:rFonts w:asciiTheme="minorHAnsi" w:eastAsia="Times New Roman" w:hAnsiTheme="minorHAnsi" w:cstheme="minorHAnsi"/>
          <w:sz w:val="22"/>
          <w:szCs w:val="22"/>
          <w:lang w:val="en-GB" w:eastAsia="en-GB"/>
        </w:rPr>
        <w:t>Audit.  To make recommendations on safeguards to limit such impairments and periodically review their operation.</w:t>
      </w:r>
    </w:p>
    <w:p w14:paraId="7B46B690" w14:textId="77777777" w:rsidR="00BC64AD" w:rsidRPr="00BE641F" w:rsidRDefault="00BC64AD" w:rsidP="00BC64AD">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p>
    <w:p w14:paraId="7FDDF913" w14:textId="77777777" w:rsidR="00E93493" w:rsidRPr="00BE641F" w:rsidRDefault="00E93493" w:rsidP="00245A2F">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lang w:val="en-GB" w:eastAsia="en-GB"/>
        </w:rPr>
      </w:pPr>
      <w:r w:rsidRPr="00BE641F">
        <w:rPr>
          <w:rFonts w:asciiTheme="minorHAnsi" w:eastAsia="Times New Roman" w:hAnsiTheme="minorHAnsi" w:cstheme="minorHAnsi"/>
          <w:b/>
          <w:color w:val="1D428A"/>
          <w:lang w:val="en-GB" w:eastAsia="en-GB"/>
        </w:rPr>
        <w:t>External Audit/External Inspection</w:t>
      </w:r>
    </w:p>
    <w:p w14:paraId="01A95706" w14:textId="4452109B" w:rsidR="00E93493" w:rsidRPr="00BE641F" w:rsidRDefault="00574BFB" w:rsidP="00376054">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The committee will provide advice and recommendations to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Chief Constable</w:t>
      </w:r>
      <w:r w:rsidR="0026254F">
        <w:rPr>
          <w:rFonts w:asciiTheme="minorHAnsi" w:eastAsia="Times New Roman" w:hAnsiTheme="minorHAnsi" w:cstheme="minorHAnsi"/>
          <w:sz w:val="22"/>
          <w:szCs w:val="22"/>
          <w:lang w:val="en-GB" w:eastAsia="en-GB"/>
        </w:rPr>
        <w:t xml:space="preserve"> or CCFRA</w:t>
      </w:r>
      <w:r w:rsidRPr="00BE641F">
        <w:rPr>
          <w:rFonts w:asciiTheme="minorHAnsi" w:eastAsia="Times New Roman" w:hAnsiTheme="minorHAnsi" w:cstheme="minorHAnsi"/>
          <w:sz w:val="22"/>
          <w:szCs w:val="22"/>
          <w:lang w:val="en-GB" w:eastAsia="en-GB"/>
        </w:rPr>
        <w:t xml:space="preserve"> in relation to the following areas:</w:t>
      </w:r>
    </w:p>
    <w:p w14:paraId="587C443D" w14:textId="77777777" w:rsidR="00AA40ED" w:rsidRPr="00BE641F" w:rsidRDefault="00AA40ED"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Support the independence of external audit through consideration of the external auditor’s annual assessment of its independence and review of any issues raised by either Public Sector Audit Appointments (PSAA) or the auditor panel as appropriate.</w:t>
      </w:r>
    </w:p>
    <w:p w14:paraId="3252C7CE" w14:textId="77777777" w:rsidR="00E93493" w:rsidRPr="00BE641F" w:rsidRDefault="00AA40ED"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 </w:t>
      </w:r>
      <w:r w:rsidR="00E93493" w:rsidRPr="00BE641F">
        <w:rPr>
          <w:rFonts w:asciiTheme="minorHAnsi" w:eastAsia="Times New Roman" w:hAnsiTheme="minorHAnsi" w:cstheme="minorHAnsi"/>
          <w:sz w:val="22"/>
          <w:szCs w:val="22"/>
          <w:lang w:val="en-GB" w:eastAsia="en-GB"/>
        </w:rPr>
        <w:t>Comment on the scope and depth of external audit work, its independence and whether it gives satisfactory value for money.</w:t>
      </w:r>
    </w:p>
    <w:p w14:paraId="2CC80181" w14:textId="326C005A"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the external auditor’s annual management letter</w:t>
      </w:r>
      <w:r w:rsidR="0026254F">
        <w:rPr>
          <w:rFonts w:asciiTheme="minorHAnsi" w:eastAsia="Times New Roman" w:hAnsiTheme="minorHAnsi" w:cstheme="minorHAnsi"/>
          <w:sz w:val="22"/>
          <w:szCs w:val="22"/>
          <w:lang w:val="en-GB" w:eastAsia="en-GB"/>
        </w:rPr>
        <w:t>s</w:t>
      </w:r>
      <w:r w:rsidRPr="00BE641F">
        <w:rPr>
          <w:rFonts w:asciiTheme="minorHAnsi" w:eastAsia="Times New Roman" w:hAnsiTheme="minorHAnsi" w:cstheme="minorHAnsi"/>
          <w:sz w:val="22"/>
          <w:szCs w:val="22"/>
          <w:lang w:val="en-GB" w:eastAsia="en-GB"/>
        </w:rPr>
        <w:t>, relevant reports and the report to those charged with governance.</w:t>
      </w:r>
    </w:p>
    <w:p w14:paraId="0FEE7946" w14:textId="1B53F65C"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Consider specific reports as agreed with the external auditors/specific inspection reports e.g. </w:t>
      </w:r>
      <w:r w:rsidR="00AA40ED" w:rsidRPr="00BE641F">
        <w:rPr>
          <w:rFonts w:asciiTheme="minorHAnsi" w:eastAsia="Times New Roman" w:hAnsiTheme="minorHAnsi" w:cstheme="minorHAnsi"/>
          <w:sz w:val="22"/>
          <w:szCs w:val="22"/>
          <w:lang w:val="en-GB" w:eastAsia="en-GB"/>
        </w:rPr>
        <w:t>H</w:t>
      </w:r>
      <w:r w:rsidR="0026254F">
        <w:rPr>
          <w:rFonts w:asciiTheme="minorHAnsi" w:eastAsia="Times New Roman" w:hAnsiTheme="minorHAnsi" w:cstheme="minorHAnsi"/>
          <w:sz w:val="22"/>
          <w:szCs w:val="22"/>
          <w:lang w:val="en-GB" w:eastAsia="en-GB"/>
        </w:rPr>
        <w:t>is</w:t>
      </w:r>
      <w:r w:rsidR="00AA40ED" w:rsidRPr="00BE641F">
        <w:rPr>
          <w:rFonts w:asciiTheme="minorHAnsi" w:eastAsia="Times New Roman" w:hAnsiTheme="minorHAnsi" w:cstheme="minorHAnsi"/>
          <w:sz w:val="22"/>
          <w:szCs w:val="22"/>
          <w:lang w:val="en-GB" w:eastAsia="en-GB"/>
        </w:rPr>
        <w:t xml:space="preserve"> Majesty’s Inspectorate of Constabulary and Fire &amp; Rescue Services (</w:t>
      </w:r>
      <w:r w:rsidRPr="00BE641F">
        <w:rPr>
          <w:rFonts w:asciiTheme="minorHAnsi" w:eastAsia="Times New Roman" w:hAnsiTheme="minorHAnsi" w:cstheme="minorHAnsi"/>
          <w:sz w:val="22"/>
          <w:szCs w:val="22"/>
          <w:lang w:val="en-GB" w:eastAsia="en-GB"/>
        </w:rPr>
        <w:t>HMIC</w:t>
      </w:r>
      <w:r w:rsidR="00AA40ED" w:rsidRPr="00BE641F">
        <w:rPr>
          <w:rFonts w:asciiTheme="minorHAnsi" w:eastAsia="Times New Roman" w:hAnsiTheme="minorHAnsi" w:cstheme="minorHAnsi"/>
          <w:sz w:val="22"/>
          <w:szCs w:val="22"/>
          <w:lang w:val="en-GB" w:eastAsia="en-GB"/>
        </w:rPr>
        <w:t>FRS)</w:t>
      </w:r>
      <w:r w:rsidRPr="00BE641F">
        <w:rPr>
          <w:rFonts w:asciiTheme="minorHAnsi" w:eastAsia="Times New Roman" w:hAnsiTheme="minorHAnsi" w:cstheme="minorHAnsi"/>
          <w:sz w:val="22"/>
          <w:szCs w:val="22"/>
          <w:lang w:val="en-GB" w:eastAsia="en-GB"/>
        </w:rPr>
        <w:t>, relevant to the Committee’s terms of reference.</w:t>
      </w:r>
    </w:p>
    <w:p w14:paraId="4AAF29E0" w14:textId="62D6BCEE" w:rsidR="00E93493"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Advise and recommend on the effectiveness of relationships between external and internal audit and other inspection agencies </w:t>
      </w:r>
      <w:r w:rsidR="00AA40ED" w:rsidRPr="00BE641F">
        <w:rPr>
          <w:rFonts w:asciiTheme="minorHAnsi" w:eastAsia="Times New Roman" w:hAnsiTheme="minorHAnsi" w:cstheme="minorHAnsi"/>
          <w:sz w:val="22"/>
          <w:szCs w:val="22"/>
          <w:lang w:val="en-GB" w:eastAsia="en-GB"/>
        </w:rPr>
        <w:t>or</w:t>
      </w:r>
      <w:r w:rsidRPr="00BE641F">
        <w:rPr>
          <w:rFonts w:asciiTheme="minorHAnsi" w:eastAsia="Times New Roman" w:hAnsiTheme="minorHAnsi" w:cstheme="minorHAnsi"/>
          <w:sz w:val="22"/>
          <w:szCs w:val="22"/>
          <w:lang w:val="en-GB" w:eastAsia="en-GB"/>
        </w:rPr>
        <w:t xml:space="preserve"> relevant bodies.</w:t>
      </w:r>
    </w:p>
    <w:p w14:paraId="631AD1CC" w14:textId="77777777" w:rsidR="00BC64AD" w:rsidRPr="00BE641F" w:rsidRDefault="00BC64AD" w:rsidP="00BC64AD">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p>
    <w:p w14:paraId="6D01843C" w14:textId="77777777" w:rsidR="00E93493" w:rsidRPr="00BE641F" w:rsidRDefault="00E93493" w:rsidP="00245A2F">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color w:val="1D428A"/>
          <w:lang w:val="en-GB" w:eastAsia="en-GB"/>
        </w:rPr>
      </w:pPr>
      <w:r w:rsidRPr="00BE641F">
        <w:rPr>
          <w:rFonts w:asciiTheme="minorHAnsi" w:eastAsia="Times New Roman" w:hAnsiTheme="minorHAnsi" w:cstheme="minorHAnsi"/>
          <w:b/>
          <w:color w:val="1D428A"/>
          <w:lang w:val="en-GB" w:eastAsia="en-GB"/>
        </w:rPr>
        <w:t>Financial Reporting</w:t>
      </w:r>
    </w:p>
    <w:p w14:paraId="6E3AD3E0" w14:textId="7F1ED80C" w:rsidR="00574BFB" w:rsidRPr="00BE641F" w:rsidRDefault="00574BFB" w:rsidP="00376054">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The committee will provide advice and recommendations to the Commissioner</w:t>
      </w:r>
      <w:r w:rsidR="0026254F">
        <w:rPr>
          <w:rFonts w:asciiTheme="minorHAnsi" w:eastAsia="Times New Roman" w:hAnsiTheme="minorHAnsi" w:cstheme="minorHAnsi"/>
          <w:sz w:val="22"/>
          <w:szCs w:val="22"/>
          <w:lang w:val="en-GB" w:eastAsia="en-GB"/>
        </w:rPr>
        <w:t xml:space="preserve">, </w:t>
      </w:r>
      <w:r w:rsidRPr="00BE641F">
        <w:rPr>
          <w:rFonts w:asciiTheme="minorHAnsi" w:eastAsia="Times New Roman" w:hAnsiTheme="minorHAnsi" w:cstheme="minorHAnsi"/>
          <w:sz w:val="22"/>
          <w:szCs w:val="22"/>
          <w:lang w:val="en-GB" w:eastAsia="en-GB"/>
        </w:rPr>
        <w:t xml:space="preserve"> Chief Constable</w:t>
      </w:r>
      <w:r w:rsidR="0026254F">
        <w:rPr>
          <w:rFonts w:asciiTheme="minorHAnsi" w:eastAsia="Times New Roman" w:hAnsiTheme="minorHAnsi" w:cstheme="minorHAnsi"/>
          <w:sz w:val="22"/>
          <w:szCs w:val="22"/>
          <w:lang w:val="en-GB" w:eastAsia="en-GB"/>
        </w:rPr>
        <w:t xml:space="preserve"> or CCFRA</w:t>
      </w:r>
      <w:r w:rsidRPr="00BE641F">
        <w:rPr>
          <w:rFonts w:asciiTheme="minorHAnsi" w:eastAsia="Times New Roman" w:hAnsiTheme="minorHAnsi" w:cstheme="minorHAnsi"/>
          <w:sz w:val="22"/>
          <w:szCs w:val="22"/>
          <w:lang w:val="en-GB" w:eastAsia="en-GB"/>
        </w:rPr>
        <w:t xml:space="preserve"> in relation to the following areas:</w:t>
      </w:r>
    </w:p>
    <w:p w14:paraId="61DF2FBC" w14:textId="5D534024"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 xml:space="preserve">Review the </w:t>
      </w:r>
      <w:r w:rsidR="00574BFB" w:rsidRPr="00BE641F">
        <w:rPr>
          <w:rFonts w:asciiTheme="minorHAnsi" w:eastAsia="Times New Roman" w:hAnsiTheme="minorHAnsi" w:cstheme="minorHAnsi"/>
          <w:sz w:val="22"/>
          <w:szCs w:val="22"/>
          <w:lang w:val="en-GB" w:eastAsia="en-GB"/>
        </w:rPr>
        <w:t>a</w:t>
      </w:r>
      <w:r w:rsidRPr="00BE641F">
        <w:rPr>
          <w:rFonts w:asciiTheme="minorHAnsi" w:eastAsia="Times New Roman" w:hAnsiTheme="minorHAnsi" w:cstheme="minorHAnsi"/>
          <w:sz w:val="22"/>
          <w:szCs w:val="22"/>
          <w:lang w:val="en-GB" w:eastAsia="en-GB"/>
        </w:rPr>
        <w:t xml:space="preserve">nnual </w:t>
      </w:r>
      <w:r w:rsidR="00574BFB" w:rsidRPr="00BE641F">
        <w:rPr>
          <w:rFonts w:asciiTheme="minorHAnsi" w:eastAsia="Times New Roman" w:hAnsiTheme="minorHAnsi" w:cstheme="minorHAnsi"/>
          <w:sz w:val="22"/>
          <w:szCs w:val="22"/>
          <w:lang w:val="en-GB" w:eastAsia="en-GB"/>
        </w:rPr>
        <w:t>s</w:t>
      </w:r>
      <w:r w:rsidRPr="00BE641F">
        <w:rPr>
          <w:rFonts w:asciiTheme="minorHAnsi" w:eastAsia="Times New Roman" w:hAnsiTheme="minorHAnsi" w:cstheme="minorHAnsi"/>
          <w:sz w:val="22"/>
          <w:szCs w:val="22"/>
          <w:lang w:val="en-GB" w:eastAsia="en-GB"/>
        </w:rPr>
        <w:t xml:space="preserve">tatement of </w:t>
      </w:r>
      <w:r w:rsidR="00574BFB" w:rsidRPr="00BE641F">
        <w:rPr>
          <w:rFonts w:asciiTheme="minorHAnsi" w:eastAsia="Times New Roman" w:hAnsiTheme="minorHAnsi" w:cstheme="minorHAnsi"/>
          <w:sz w:val="22"/>
          <w:szCs w:val="22"/>
          <w:lang w:val="en-GB" w:eastAsia="en-GB"/>
        </w:rPr>
        <w:t>a</w:t>
      </w:r>
      <w:r w:rsidRPr="00BE641F">
        <w:rPr>
          <w:rFonts w:asciiTheme="minorHAnsi" w:eastAsia="Times New Roman" w:hAnsiTheme="minorHAnsi" w:cstheme="minorHAnsi"/>
          <w:sz w:val="22"/>
          <w:szCs w:val="22"/>
          <w:lang w:val="en-GB" w:eastAsia="en-GB"/>
        </w:rPr>
        <w:t xml:space="preserve">ccounts.  Specifically, to consider whether appropriate accounting </w:t>
      </w:r>
      <w:r w:rsidRPr="00BE641F">
        <w:rPr>
          <w:rFonts w:asciiTheme="minorHAnsi" w:eastAsia="Times New Roman" w:hAnsiTheme="minorHAnsi" w:cstheme="minorHAnsi"/>
          <w:sz w:val="22"/>
          <w:szCs w:val="22"/>
          <w:lang w:val="en-GB" w:eastAsia="en-GB"/>
        </w:rPr>
        <w:lastRenderedPageBreak/>
        <w:t>policies have been followed and whether there are concerns arising from the financial statements or from the audit of the financial statements that need to be brought to the attention of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the Chief Constable</w:t>
      </w:r>
      <w:r w:rsidR="0026254F">
        <w:rPr>
          <w:rFonts w:asciiTheme="minorHAnsi" w:eastAsia="Times New Roman" w:hAnsiTheme="minorHAnsi" w:cstheme="minorHAnsi"/>
          <w:sz w:val="22"/>
          <w:szCs w:val="22"/>
          <w:lang w:val="en-GB" w:eastAsia="en-GB"/>
        </w:rPr>
        <w:t xml:space="preserve"> and/or CCFRA</w:t>
      </w:r>
      <w:r w:rsidRPr="00BE641F">
        <w:rPr>
          <w:rFonts w:asciiTheme="minorHAnsi" w:eastAsia="Times New Roman" w:hAnsiTheme="minorHAnsi" w:cstheme="minorHAnsi"/>
          <w:sz w:val="22"/>
          <w:szCs w:val="22"/>
          <w:lang w:val="en-GB" w:eastAsia="en-GB"/>
        </w:rPr>
        <w:t>.</w:t>
      </w:r>
    </w:p>
    <w:p w14:paraId="4A3726C6" w14:textId="77777777" w:rsidR="00E93493" w:rsidRPr="00BE641F" w:rsidRDefault="00E93493" w:rsidP="00376AC3">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Consider the external auditor’s report to those charged with governance on issues arising from the audit of the financial statements.</w:t>
      </w:r>
    </w:p>
    <w:p w14:paraId="0DBBBE31" w14:textId="16EF6910" w:rsidR="00193BBF" w:rsidRDefault="00193BBF">
      <w:pPr>
        <w:rPr>
          <w:rFonts w:asciiTheme="minorHAnsi" w:eastAsia="Times New Roman" w:hAnsiTheme="minorHAnsi" w:cstheme="minorHAnsi"/>
          <w:b/>
          <w:color w:val="1D428A"/>
          <w:sz w:val="24"/>
          <w:szCs w:val="24"/>
          <w:lang w:val="en-GB" w:eastAsia="en-GB"/>
        </w:rPr>
      </w:pPr>
    </w:p>
    <w:p w14:paraId="1ED26875" w14:textId="4D854BDA" w:rsidR="00E93493" w:rsidRPr="00BE641F" w:rsidRDefault="00E93493" w:rsidP="00245A2F">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color w:val="1D428A"/>
          <w:lang w:val="en-GB" w:eastAsia="en-GB"/>
        </w:rPr>
      </w:pPr>
      <w:r w:rsidRPr="00BE641F">
        <w:rPr>
          <w:rFonts w:asciiTheme="minorHAnsi" w:eastAsia="Times New Roman" w:hAnsiTheme="minorHAnsi" w:cstheme="minorHAnsi"/>
          <w:b/>
          <w:color w:val="1D428A"/>
          <w:lang w:val="en-GB" w:eastAsia="en-GB"/>
        </w:rPr>
        <w:t>Accountability Arrangements</w:t>
      </w:r>
    </w:p>
    <w:p w14:paraId="08FE1631" w14:textId="77777777" w:rsidR="00E93493" w:rsidRPr="00BE641F" w:rsidRDefault="00574BFB" w:rsidP="00376054">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The committee will do the following:</w:t>
      </w:r>
    </w:p>
    <w:p w14:paraId="16A6066F" w14:textId="5DD0819D"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On a timely basis report to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the Chief Constable</w:t>
      </w:r>
      <w:r w:rsidR="0026254F">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 xml:space="preserve"> with its advice and recommendations in relation to any matters that it considers relevant to governance, risk management and financial management.</w:t>
      </w:r>
    </w:p>
    <w:p w14:paraId="7A517F60" w14:textId="23094A64"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Report to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the Chief Constable</w:t>
      </w:r>
      <w:r w:rsidR="0026254F">
        <w:rPr>
          <w:rFonts w:asciiTheme="minorHAnsi" w:eastAsia="Times New Roman" w:hAnsiTheme="minorHAnsi" w:cstheme="minorHAnsi"/>
          <w:sz w:val="22"/>
          <w:szCs w:val="22"/>
          <w:lang w:val="en-GB" w:eastAsia="en-GB"/>
        </w:rPr>
        <w:t>, and CCFRA</w:t>
      </w:r>
      <w:r w:rsidRPr="00BE641F">
        <w:rPr>
          <w:rFonts w:asciiTheme="minorHAnsi" w:eastAsia="Times New Roman" w:hAnsiTheme="minorHAnsi" w:cstheme="minorHAnsi"/>
          <w:sz w:val="22"/>
          <w:szCs w:val="22"/>
          <w:lang w:val="en-GB" w:eastAsia="en-GB"/>
        </w:rPr>
        <w:t xml:space="preserve"> on its findings, conclusions and recommendations concerning the adequacy and effectiveness of their governance, risk management and internal control frameworks</w:t>
      </w:r>
      <w:r w:rsidR="00ED5508" w:rsidRPr="00BE641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financial reporting arrangements and internal and external audit functions.</w:t>
      </w:r>
    </w:p>
    <w:p w14:paraId="239088C7" w14:textId="36779673"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its performance against its terms of reference and objectives on an annual basis and report the results of this review to the Commissioner</w:t>
      </w:r>
      <w:r w:rsidR="0026254F">
        <w:rPr>
          <w:rFonts w:asciiTheme="minorHAnsi" w:eastAsia="Times New Roman" w:hAnsiTheme="minorHAnsi" w:cstheme="minorHAnsi"/>
          <w:sz w:val="22"/>
          <w:szCs w:val="22"/>
          <w:lang w:val="en-GB" w:eastAsia="en-GB"/>
        </w:rPr>
        <w:t>,</w:t>
      </w:r>
      <w:r w:rsidRPr="00BE641F">
        <w:rPr>
          <w:rFonts w:asciiTheme="minorHAnsi" w:eastAsia="Times New Roman" w:hAnsiTheme="minorHAnsi" w:cstheme="minorHAnsi"/>
          <w:sz w:val="22"/>
          <w:szCs w:val="22"/>
          <w:lang w:val="en-GB" w:eastAsia="en-GB"/>
        </w:rPr>
        <w:t xml:space="preserve"> the Chief Constable</w:t>
      </w:r>
      <w:r w:rsidR="0026254F">
        <w:rPr>
          <w:rFonts w:asciiTheme="minorHAnsi" w:eastAsia="Times New Roman" w:hAnsiTheme="minorHAnsi" w:cstheme="minorHAnsi"/>
          <w:sz w:val="22"/>
          <w:szCs w:val="22"/>
          <w:lang w:val="en-GB" w:eastAsia="en-GB"/>
        </w:rPr>
        <w:t xml:space="preserve"> and CCFRA</w:t>
      </w:r>
      <w:r w:rsidRPr="00BE641F">
        <w:rPr>
          <w:rFonts w:asciiTheme="minorHAnsi" w:eastAsia="Times New Roman" w:hAnsiTheme="minorHAnsi" w:cstheme="minorHAnsi"/>
          <w:sz w:val="22"/>
          <w:szCs w:val="22"/>
          <w:lang w:val="en-GB" w:eastAsia="en-GB"/>
        </w:rPr>
        <w:t>.</w:t>
      </w:r>
    </w:p>
    <w:p w14:paraId="7ADBFA5A" w14:textId="5C49F715" w:rsidR="00ED5508" w:rsidRDefault="00ED5508"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Publish an annual report on the work of the committee.</w:t>
      </w:r>
    </w:p>
    <w:p w14:paraId="1C98B535" w14:textId="77777777" w:rsidR="00BC64AD" w:rsidRPr="00BE641F" w:rsidRDefault="00BC64AD" w:rsidP="00BC64AD">
      <w:pPr>
        <w:widowControl w:val="0"/>
        <w:autoSpaceDE w:val="0"/>
        <w:autoSpaceDN w:val="0"/>
        <w:adjustRightInd w:val="0"/>
        <w:spacing w:after="200" w:line="360" w:lineRule="auto"/>
        <w:ind w:left="567"/>
        <w:jc w:val="both"/>
        <w:rPr>
          <w:rFonts w:asciiTheme="minorHAnsi" w:eastAsia="Times New Roman" w:hAnsiTheme="minorHAnsi" w:cstheme="minorHAnsi"/>
          <w:sz w:val="22"/>
          <w:szCs w:val="22"/>
          <w:lang w:val="en-GB" w:eastAsia="en-GB"/>
        </w:rPr>
      </w:pPr>
    </w:p>
    <w:p w14:paraId="483D2B55" w14:textId="77777777" w:rsidR="00E93493" w:rsidRPr="00BE641F" w:rsidRDefault="00E93493" w:rsidP="00376AC3">
      <w:pPr>
        <w:pStyle w:val="ListParagraph"/>
        <w:widowControl w:val="0"/>
        <w:numPr>
          <w:ilvl w:val="0"/>
          <w:numId w:val="20"/>
        </w:numPr>
        <w:autoSpaceDE w:val="0"/>
        <w:autoSpaceDN w:val="0"/>
        <w:adjustRightInd w:val="0"/>
        <w:spacing w:line="360" w:lineRule="auto"/>
        <w:jc w:val="both"/>
        <w:rPr>
          <w:rFonts w:asciiTheme="minorHAnsi" w:eastAsia="Times New Roman" w:hAnsiTheme="minorHAnsi" w:cstheme="minorHAnsi"/>
          <w:b/>
          <w:color w:val="1D428A"/>
          <w:lang w:val="en-GB" w:eastAsia="en-GB"/>
        </w:rPr>
      </w:pPr>
      <w:r w:rsidRPr="00BE641F">
        <w:rPr>
          <w:rFonts w:asciiTheme="minorHAnsi" w:eastAsia="Times New Roman" w:hAnsiTheme="minorHAnsi" w:cstheme="minorHAnsi"/>
          <w:b/>
          <w:color w:val="1D428A"/>
          <w:lang w:val="en-GB" w:eastAsia="en-GB"/>
        </w:rPr>
        <w:t>Treasury Management</w:t>
      </w:r>
    </w:p>
    <w:p w14:paraId="6DB42A40" w14:textId="77777777" w:rsidR="00E93493" w:rsidRPr="00BE641F" w:rsidRDefault="00376054"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the t</w:t>
      </w:r>
      <w:r w:rsidR="00E93493" w:rsidRPr="00BE641F">
        <w:rPr>
          <w:rFonts w:asciiTheme="minorHAnsi" w:eastAsia="Times New Roman" w:hAnsiTheme="minorHAnsi" w:cstheme="minorHAnsi"/>
          <w:sz w:val="22"/>
          <w:szCs w:val="22"/>
          <w:lang w:val="en-GB" w:eastAsia="en-GB"/>
        </w:rPr>
        <w:t xml:space="preserve">reasury </w:t>
      </w:r>
      <w:r w:rsidRPr="00BE641F">
        <w:rPr>
          <w:rFonts w:asciiTheme="minorHAnsi" w:eastAsia="Times New Roman" w:hAnsiTheme="minorHAnsi" w:cstheme="minorHAnsi"/>
          <w:sz w:val="22"/>
          <w:szCs w:val="22"/>
          <w:lang w:val="en-GB" w:eastAsia="en-GB"/>
        </w:rPr>
        <w:t>m</w:t>
      </w:r>
      <w:r w:rsidR="00E93493" w:rsidRPr="00BE641F">
        <w:rPr>
          <w:rFonts w:asciiTheme="minorHAnsi" w:eastAsia="Times New Roman" w:hAnsiTheme="minorHAnsi" w:cstheme="minorHAnsi"/>
          <w:sz w:val="22"/>
          <w:szCs w:val="22"/>
          <w:lang w:val="en-GB" w:eastAsia="en-GB"/>
        </w:rPr>
        <w:t>anagement policy and procedures to be satisfied that controls are satisfactory.</w:t>
      </w:r>
    </w:p>
    <w:p w14:paraId="33C5D94E"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Receive regular reports on activities, issues and trends to support th</w:t>
      </w:r>
      <w:r w:rsidR="00376054" w:rsidRPr="00BE641F">
        <w:rPr>
          <w:rFonts w:asciiTheme="minorHAnsi" w:eastAsia="Times New Roman" w:hAnsiTheme="minorHAnsi" w:cstheme="minorHAnsi"/>
          <w:sz w:val="22"/>
          <w:szCs w:val="22"/>
          <w:lang w:val="en-GB" w:eastAsia="en-GB"/>
        </w:rPr>
        <w:t>e Committee’s understanding of treasury management activities; the c</w:t>
      </w:r>
      <w:r w:rsidRPr="00BE641F">
        <w:rPr>
          <w:rFonts w:asciiTheme="minorHAnsi" w:eastAsia="Times New Roman" w:hAnsiTheme="minorHAnsi" w:cstheme="minorHAnsi"/>
          <w:sz w:val="22"/>
          <w:szCs w:val="22"/>
          <w:lang w:val="en-GB" w:eastAsia="en-GB"/>
        </w:rPr>
        <w:t>ommittee is not responsible for the regular monitoring of activity.</w:t>
      </w:r>
    </w:p>
    <w:p w14:paraId="482E4925" w14:textId="77777777" w:rsidR="00E93493" w:rsidRPr="00BE641F" w:rsidRDefault="00E93493"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the treasury risk profile and adequacy of treasury risk management processes.</w:t>
      </w:r>
    </w:p>
    <w:p w14:paraId="32B8F90B" w14:textId="24D3957E" w:rsidR="00E93493" w:rsidRPr="00BE641F" w:rsidRDefault="00376054" w:rsidP="00376054">
      <w:pPr>
        <w:widowControl w:val="0"/>
        <w:numPr>
          <w:ilvl w:val="1"/>
          <w:numId w:val="20"/>
        </w:numPr>
        <w:autoSpaceDE w:val="0"/>
        <w:autoSpaceDN w:val="0"/>
        <w:adjustRightInd w:val="0"/>
        <w:spacing w:after="200" w:line="360" w:lineRule="auto"/>
        <w:jc w:val="both"/>
        <w:rPr>
          <w:rFonts w:asciiTheme="minorHAnsi" w:eastAsia="Times New Roman" w:hAnsiTheme="minorHAnsi" w:cstheme="minorHAnsi"/>
          <w:sz w:val="22"/>
          <w:szCs w:val="22"/>
          <w:lang w:val="en-GB" w:eastAsia="en-GB"/>
        </w:rPr>
      </w:pPr>
      <w:r w:rsidRPr="00BE641F">
        <w:rPr>
          <w:rFonts w:asciiTheme="minorHAnsi" w:eastAsia="Times New Roman" w:hAnsiTheme="minorHAnsi" w:cstheme="minorHAnsi"/>
          <w:sz w:val="22"/>
          <w:szCs w:val="22"/>
          <w:lang w:val="en-GB" w:eastAsia="en-GB"/>
        </w:rPr>
        <w:t>Review assurances on treasury m</w:t>
      </w:r>
      <w:r w:rsidR="00E93493" w:rsidRPr="00BE641F">
        <w:rPr>
          <w:rFonts w:asciiTheme="minorHAnsi" w:eastAsia="Times New Roman" w:hAnsiTheme="minorHAnsi" w:cstheme="minorHAnsi"/>
          <w:sz w:val="22"/>
          <w:szCs w:val="22"/>
          <w:lang w:val="en-GB" w:eastAsia="en-GB"/>
        </w:rPr>
        <w:t>anagement (for example,  internal audit report</w:t>
      </w:r>
      <w:r w:rsidR="0026254F">
        <w:rPr>
          <w:rFonts w:asciiTheme="minorHAnsi" w:eastAsia="Times New Roman" w:hAnsiTheme="minorHAnsi" w:cstheme="minorHAnsi"/>
          <w:sz w:val="22"/>
          <w:szCs w:val="22"/>
          <w:lang w:val="en-GB" w:eastAsia="en-GB"/>
        </w:rPr>
        <w:t>s</w:t>
      </w:r>
      <w:r w:rsidR="00E93493" w:rsidRPr="00BE641F">
        <w:rPr>
          <w:rFonts w:asciiTheme="minorHAnsi" w:eastAsia="Times New Roman" w:hAnsiTheme="minorHAnsi" w:cstheme="minorHAnsi"/>
          <w:sz w:val="22"/>
          <w:szCs w:val="22"/>
          <w:lang w:val="en-GB" w:eastAsia="en-GB"/>
        </w:rPr>
        <w:t>, external or other reports)</w:t>
      </w:r>
      <w:r w:rsidRPr="00BE641F">
        <w:rPr>
          <w:rFonts w:asciiTheme="minorHAnsi" w:eastAsia="Times New Roman" w:hAnsiTheme="minorHAnsi" w:cstheme="minorHAnsi"/>
          <w:sz w:val="22"/>
          <w:szCs w:val="22"/>
          <w:lang w:val="en-GB" w:eastAsia="en-GB"/>
        </w:rPr>
        <w:t>.</w:t>
      </w:r>
    </w:p>
    <w:p w14:paraId="3EA4F1DC" w14:textId="77777777" w:rsidR="00E35C67" w:rsidRPr="00BE641F" w:rsidRDefault="00E35C67" w:rsidP="00E35C67">
      <w:pPr>
        <w:widowControl w:val="0"/>
        <w:autoSpaceDE w:val="0"/>
        <w:autoSpaceDN w:val="0"/>
        <w:adjustRightInd w:val="0"/>
        <w:spacing w:after="200" w:line="360" w:lineRule="auto"/>
        <w:jc w:val="both"/>
        <w:rPr>
          <w:rFonts w:asciiTheme="minorHAnsi" w:eastAsia="Times New Roman" w:hAnsiTheme="minorHAnsi" w:cstheme="minorHAnsi"/>
          <w:sz w:val="22"/>
          <w:szCs w:val="22"/>
          <w:highlight w:val="yellow"/>
          <w:lang w:val="en-GB" w:eastAsia="en-GB"/>
        </w:rPr>
      </w:pPr>
    </w:p>
    <w:sectPr w:rsidR="00E35C67" w:rsidRPr="00BE641F" w:rsidSect="0070298D">
      <w:headerReference w:type="even" r:id="rId11"/>
      <w:headerReference w:type="default" r:id="rId12"/>
      <w:footerReference w:type="even" r:id="rId13"/>
      <w:footerReference w:type="default" r:id="rId14"/>
      <w:headerReference w:type="first" r:id="rId15"/>
      <w:footerReference w:type="first" r:id="rId16"/>
      <w:type w:val="nextColumn"/>
      <w:pgSz w:w="11906" w:h="16838" w:code="9"/>
      <w:pgMar w:top="1134"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02A4E" w14:textId="77777777" w:rsidR="00471CD2" w:rsidRDefault="00471CD2">
      <w:r>
        <w:separator/>
      </w:r>
    </w:p>
  </w:endnote>
  <w:endnote w:type="continuationSeparator" w:id="0">
    <w:p w14:paraId="581368C5" w14:textId="77777777" w:rsidR="00471CD2" w:rsidRDefault="0047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9101C" w14:textId="77777777" w:rsidR="004D4332" w:rsidRDefault="004D4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170919"/>
      <w:docPartObj>
        <w:docPartGallery w:val="Page Numbers (Bottom of Page)"/>
        <w:docPartUnique/>
      </w:docPartObj>
    </w:sdtPr>
    <w:sdtEndPr/>
    <w:sdtContent>
      <w:sdt>
        <w:sdtPr>
          <w:id w:val="860082579"/>
          <w:docPartObj>
            <w:docPartGallery w:val="Page Numbers (Top of Page)"/>
            <w:docPartUnique/>
          </w:docPartObj>
        </w:sdtPr>
        <w:sdtEndPr/>
        <w:sdtContent>
          <w:p w14:paraId="49DA15F0" w14:textId="453DB133" w:rsidR="008D7036" w:rsidRPr="008D7036" w:rsidRDefault="008D7036">
            <w:pPr>
              <w:pStyle w:val="Footer"/>
              <w:jc w:val="right"/>
              <w:rPr>
                <w:rFonts w:asciiTheme="minorHAnsi" w:hAnsiTheme="minorHAnsi"/>
                <w:b/>
                <w:bCs/>
                <w:color w:val="A6A6A6" w:themeColor="background1" w:themeShade="A6"/>
              </w:rPr>
            </w:pPr>
            <w:r w:rsidRPr="008D7036">
              <w:rPr>
                <w:rFonts w:asciiTheme="minorHAnsi" w:hAnsiTheme="minorHAnsi"/>
                <w:color w:val="A6A6A6" w:themeColor="background1" w:themeShade="A6"/>
              </w:rPr>
              <w:t xml:space="preserve">Page </w:t>
            </w:r>
            <w:r w:rsidRPr="008D7036">
              <w:rPr>
                <w:rFonts w:asciiTheme="minorHAnsi" w:hAnsiTheme="minorHAnsi"/>
                <w:b/>
                <w:bCs/>
                <w:color w:val="A6A6A6" w:themeColor="background1" w:themeShade="A6"/>
              </w:rPr>
              <w:fldChar w:fldCharType="begin"/>
            </w:r>
            <w:r w:rsidRPr="008D7036">
              <w:rPr>
                <w:rFonts w:asciiTheme="minorHAnsi" w:hAnsiTheme="minorHAnsi"/>
                <w:b/>
                <w:bCs/>
                <w:color w:val="A6A6A6" w:themeColor="background1" w:themeShade="A6"/>
              </w:rPr>
              <w:instrText xml:space="preserve"> PAGE </w:instrText>
            </w:r>
            <w:r w:rsidRPr="008D7036">
              <w:rPr>
                <w:rFonts w:asciiTheme="minorHAnsi" w:hAnsiTheme="minorHAnsi"/>
                <w:b/>
                <w:bCs/>
                <w:color w:val="A6A6A6" w:themeColor="background1" w:themeShade="A6"/>
              </w:rPr>
              <w:fldChar w:fldCharType="separate"/>
            </w:r>
            <w:r w:rsidR="003C0876">
              <w:rPr>
                <w:rFonts w:asciiTheme="minorHAnsi" w:hAnsiTheme="minorHAnsi"/>
                <w:b/>
                <w:bCs/>
                <w:noProof/>
                <w:color w:val="A6A6A6" w:themeColor="background1" w:themeShade="A6"/>
              </w:rPr>
              <w:t>1</w:t>
            </w:r>
            <w:r w:rsidRPr="008D7036">
              <w:rPr>
                <w:rFonts w:asciiTheme="minorHAnsi" w:hAnsiTheme="minorHAnsi"/>
                <w:b/>
                <w:bCs/>
                <w:color w:val="A6A6A6" w:themeColor="background1" w:themeShade="A6"/>
              </w:rPr>
              <w:fldChar w:fldCharType="end"/>
            </w:r>
            <w:r w:rsidRPr="008D7036">
              <w:rPr>
                <w:rFonts w:asciiTheme="minorHAnsi" w:hAnsiTheme="minorHAnsi"/>
                <w:color w:val="A6A6A6" w:themeColor="background1" w:themeShade="A6"/>
              </w:rPr>
              <w:t xml:space="preserve"> of </w:t>
            </w:r>
            <w:r w:rsidRPr="008D7036">
              <w:rPr>
                <w:rFonts w:asciiTheme="minorHAnsi" w:hAnsiTheme="minorHAnsi"/>
                <w:b/>
                <w:bCs/>
                <w:color w:val="A6A6A6" w:themeColor="background1" w:themeShade="A6"/>
              </w:rPr>
              <w:fldChar w:fldCharType="begin"/>
            </w:r>
            <w:r w:rsidRPr="008D7036">
              <w:rPr>
                <w:rFonts w:asciiTheme="minorHAnsi" w:hAnsiTheme="minorHAnsi"/>
                <w:b/>
                <w:bCs/>
                <w:color w:val="A6A6A6" w:themeColor="background1" w:themeShade="A6"/>
              </w:rPr>
              <w:instrText xml:space="preserve"> NUMPAGES  </w:instrText>
            </w:r>
            <w:r w:rsidRPr="008D7036">
              <w:rPr>
                <w:rFonts w:asciiTheme="minorHAnsi" w:hAnsiTheme="minorHAnsi"/>
                <w:b/>
                <w:bCs/>
                <w:color w:val="A6A6A6" w:themeColor="background1" w:themeShade="A6"/>
              </w:rPr>
              <w:fldChar w:fldCharType="separate"/>
            </w:r>
            <w:r w:rsidR="003C0876">
              <w:rPr>
                <w:rFonts w:asciiTheme="minorHAnsi" w:hAnsiTheme="minorHAnsi"/>
                <w:b/>
                <w:bCs/>
                <w:noProof/>
                <w:color w:val="A6A6A6" w:themeColor="background1" w:themeShade="A6"/>
              </w:rPr>
              <w:t>14</w:t>
            </w:r>
            <w:r w:rsidRPr="008D7036">
              <w:rPr>
                <w:rFonts w:asciiTheme="minorHAnsi" w:hAnsiTheme="minorHAnsi"/>
                <w:b/>
                <w:bCs/>
                <w:color w:val="A6A6A6" w:themeColor="background1" w:themeShade="A6"/>
              </w:rPr>
              <w:fldChar w:fldCharType="end"/>
            </w:r>
          </w:p>
          <w:p w14:paraId="4E886B5B" w14:textId="77777777" w:rsidR="008D7036" w:rsidRDefault="008D7036" w:rsidP="008D7036">
            <w:pPr>
              <w:pStyle w:val="Footer"/>
            </w:pPr>
            <w:r w:rsidRPr="008D7036">
              <w:rPr>
                <w:rFonts w:asciiTheme="minorHAnsi" w:hAnsiTheme="minorHAnsi"/>
                <w:bCs/>
                <w:color w:val="A6A6A6" w:themeColor="background1" w:themeShade="A6"/>
              </w:rPr>
              <w:t>Corporate Support / Financial Services / MB</w:t>
            </w:r>
          </w:p>
        </w:sdtContent>
      </w:sdt>
    </w:sdtContent>
  </w:sdt>
  <w:p w14:paraId="628B73B9" w14:textId="77777777" w:rsidR="008D7036" w:rsidRDefault="008D7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F66CF" w14:textId="77777777" w:rsidR="004D4332" w:rsidRDefault="004D4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724F7" w14:textId="77777777" w:rsidR="00471CD2" w:rsidRDefault="00471CD2">
      <w:r>
        <w:separator/>
      </w:r>
    </w:p>
  </w:footnote>
  <w:footnote w:type="continuationSeparator" w:id="0">
    <w:p w14:paraId="6508CFBF" w14:textId="77777777" w:rsidR="00471CD2" w:rsidRDefault="00471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49EB" w14:textId="77777777" w:rsidR="004D4332" w:rsidRDefault="004D4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EEE04" w14:textId="258CEB8A" w:rsidR="00190CB2" w:rsidRPr="00193BBF" w:rsidRDefault="00190CB2" w:rsidP="00193B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A0BB1" w14:textId="77777777" w:rsidR="004D4332" w:rsidRDefault="004D4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30B6D"/>
    <w:multiLevelType w:val="multilevel"/>
    <w:tmpl w:val="412EEA0A"/>
    <w:lvl w:ilvl="0">
      <w:start w:val="1"/>
      <w:numFmt w:val="decimal"/>
      <w:lvlText w:val="%1."/>
      <w:lvlJc w:val="left"/>
      <w:pPr>
        <w:tabs>
          <w:tab w:val="num" w:pos="567"/>
        </w:tabs>
        <w:ind w:left="567" w:hanging="567"/>
      </w:pPr>
      <w:rPr>
        <w:rFonts w:asciiTheme="minorHAnsi" w:hAnsiTheme="minorHAnsi" w:hint="default"/>
        <w:b/>
        <w:color w:val="1D428A"/>
        <w:sz w:val="24"/>
        <w:szCs w:val="24"/>
      </w:rPr>
    </w:lvl>
    <w:lvl w:ilvl="1">
      <w:start w:val="1"/>
      <w:numFmt w:val="decimal"/>
      <w:lvlText w:val="%1.%2."/>
      <w:lvlJc w:val="left"/>
      <w:pPr>
        <w:tabs>
          <w:tab w:val="num" w:pos="567"/>
        </w:tabs>
        <w:ind w:left="567" w:hanging="567"/>
      </w:pPr>
      <w:rPr>
        <w:rFonts w:hint="default"/>
        <w:b w:val="0"/>
        <w:color w:val="auto"/>
        <w:sz w:val="22"/>
        <w:szCs w:val="22"/>
      </w:rPr>
    </w:lvl>
    <w:lvl w:ilvl="2">
      <w:start w:val="1"/>
      <w:numFmt w:val="decimal"/>
      <w:lvlText w:val="%1.%2.%3."/>
      <w:lvlJc w:val="left"/>
      <w:pPr>
        <w:tabs>
          <w:tab w:val="num" w:pos="567"/>
        </w:tabs>
        <w:ind w:left="567" w:hanging="567"/>
      </w:pPr>
      <w:rPr>
        <w:rFonts w:hint="default"/>
        <w:color w:val="404040" w:themeColor="text1" w:themeTint="BF"/>
      </w:rPr>
    </w:lvl>
    <w:lvl w:ilvl="3">
      <w:start w:val="1"/>
      <w:numFmt w:val="bullet"/>
      <w:lvlText w:val=""/>
      <w:lvlJc w:val="left"/>
      <w:pPr>
        <w:tabs>
          <w:tab w:val="num" w:pos="1134"/>
        </w:tabs>
        <w:ind w:left="1134" w:hanging="567"/>
      </w:pPr>
      <w:rPr>
        <w:rFonts w:ascii="Symbol" w:hAnsi="Symbol" w:hint="default"/>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985"/>
        </w:tabs>
        <w:ind w:left="1985" w:hanging="567"/>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7C66580"/>
    <w:multiLevelType w:val="hybridMultilevel"/>
    <w:tmpl w:val="733053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36ED3"/>
    <w:multiLevelType w:val="hybridMultilevel"/>
    <w:tmpl w:val="69FA36A6"/>
    <w:lvl w:ilvl="0" w:tplc="08090005">
      <w:start w:val="1"/>
      <w:numFmt w:val="bullet"/>
      <w:lvlText w:val=""/>
      <w:lvlJc w:val="left"/>
      <w:pPr>
        <w:tabs>
          <w:tab w:val="num" w:pos="738"/>
        </w:tabs>
        <w:ind w:left="737" w:hanging="283"/>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53332E"/>
    <w:multiLevelType w:val="hybridMultilevel"/>
    <w:tmpl w:val="61CAD892"/>
    <w:lvl w:ilvl="0" w:tplc="520E5990">
      <w:start w:val="4"/>
      <w:numFmt w:val="lowerLetter"/>
      <w:lvlText w:val="(%1)"/>
      <w:lvlJc w:val="left"/>
      <w:pPr>
        <w:tabs>
          <w:tab w:val="num" w:pos="780"/>
        </w:tabs>
        <w:ind w:left="780" w:hanging="4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01558E"/>
    <w:multiLevelType w:val="hybridMultilevel"/>
    <w:tmpl w:val="BB4857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D37CD2"/>
    <w:multiLevelType w:val="hybridMultilevel"/>
    <w:tmpl w:val="9B582FD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F656933"/>
    <w:multiLevelType w:val="hybridMultilevel"/>
    <w:tmpl w:val="4594D3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029ED"/>
    <w:multiLevelType w:val="multilevel"/>
    <w:tmpl w:val="FD2E838A"/>
    <w:lvl w:ilvl="0">
      <w:start w:val="1"/>
      <w:numFmt w:val="decimal"/>
      <w:lvlText w:val="%1."/>
      <w:lvlJc w:val="left"/>
      <w:pPr>
        <w:tabs>
          <w:tab w:val="num" w:pos="567"/>
        </w:tabs>
        <w:ind w:left="567" w:hanging="567"/>
      </w:pPr>
      <w:rPr>
        <w:rFonts w:asciiTheme="minorHAnsi" w:hAnsiTheme="minorHAnsi" w:hint="default"/>
        <w:b/>
        <w:color w:val="1D428A"/>
        <w:sz w:val="28"/>
        <w:szCs w:val="28"/>
      </w:rPr>
    </w:lvl>
    <w:lvl w:ilvl="1">
      <w:start w:val="1"/>
      <w:numFmt w:val="decimal"/>
      <w:lvlText w:val="%1.%2."/>
      <w:lvlJc w:val="left"/>
      <w:pPr>
        <w:tabs>
          <w:tab w:val="num" w:pos="567"/>
        </w:tabs>
        <w:ind w:left="567" w:hanging="567"/>
      </w:pPr>
      <w:rPr>
        <w:rFonts w:hint="default"/>
        <w:b w:val="0"/>
        <w:color w:val="auto"/>
        <w:sz w:val="22"/>
        <w:szCs w:val="22"/>
      </w:rPr>
    </w:lvl>
    <w:lvl w:ilvl="2">
      <w:start w:val="1"/>
      <w:numFmt w:val="decimal"/>
      <w:lvlText w:val="%1.%2.%3."/>
      <w:lvlJc w:val="left"/>
      <w:pPr>
        <w:tabs>
          <w:tab w:val="num" w:pos="567"/>
        </w:tabs>
        <w:ind w:left="567" w:hanging="567"/>
      </w:pPr>
      <w:rPr>
        <w:rFonts w:hint="default"/>
        <w:color w:val="404040" w:themeColor="text1" w:themeTint="BF"/>
      </w:rPr>
    </w:lvl>
    <w:lvl w:ilvl="3">
      <w:start w:val="1"/>
      <w:numFmt w:val="bullet"/>
      <w:lvlText w:val=""/>
      <w:lvlJc w:val="left"/>
      <w:pPr>
        <w:tabs>
          <w:tab w:val="num" w:pos="1134"/>
        </w:tabs>
        <w:ind w:left="1134" w:hanging="567"/>
      </w:pPr>
      <w:rPr>
        <w:rFonts w:ascii="Symbol" w:hAnsi="Symbol" w:hint="default"/>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985"/>
        </w:tabs>
        <w:ind w:left="1985" w:hanging="567"/>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5C50C3"/>
    <w:multiLevelType w:val="hybridMultilevel"/>
    <w:tmpl w:val="65CE0DAA"/>
    <w:lvl w:ilvl="0" w:tplc="08090005">
      <w:start w:val="1"/>
      <w:numFmt w:val="bullet"/>
      <w:lvlText w:val=""/>
      <w:lvlJc w:val="left"/>
      <w:pPr>
        <w:tabs>
          <w:tab w:val="num" w:pos="749"/>
        </w:tabs>
        <w:ind w:left="748" w:hanging="283"/>
      </w:pPr>
      <w:rPr>
        <w:rFonts w:ascii="Wingdings" w:hAnsi="Wingdings" w:hint="default"/>
      </w:rPr>
    </w:lvl>
    <w:lvl w:ilvl="1" w:tplc="08090003" w:tentative="1">
      <w:start w:val="1"/>
      <w:numFmt w:val="bullet"/>
      <w:lvlText w:val="o"/>
      <w:lvlJc w:val="left"/>
      <w:pPr>
        <w:tabs>
          <w:tab w:val="num" w:pos="1451"/>
        </w:tabs>
        <w:ind w:left="1451" w:hanging="360"/>
      </w:pPr>
      <w:rPr>
        <w:rFonts w:ascii="Courier New" w:hAnsi="Courier New" w:cs="Courier New" w:hint="default"/>
      </w:rPr>
    </w:lvl>
    <w:lvl w:ilvl="2" w:tplc="08090005" w:tentative="1">
      <w:start w:val="1"/>
      <w:numFmt w:val="bullet"/>
      <w:lvlText w:val=""/>
      <w:lvlJc w:val="left"/>
      <w:pPr>
        <w:tabs>
          <w:tab w:val="num" w:pos="2171"/>
        </w:tabs>
        <w:ind w:left="2171" w:hanging="360"/>
      </w:pPr>
      <w:rPr>
        <w:rFonts w:ascii="Wingdings" w:hAnsi="Wingdings" w:hint="default"/>
      </w:rPr>
    </w:lvl>
    <w:lvl w:ilvl="3" w:tplc="08090001" w:tentative="1">
      <w:start w:val="1"/>
      <w:numFmt w:val="bullet"/>
      <w:lvlText w:val=""/>
      <w:lvlJc w:val="left"/>
      <w:pPr>
        <w:tabs>
          <w:tab w:val="num" w:pos="2891"/>
        </w:tabs>
        <w:ind w:left="2891" w:hanging="360"/>
      </w:pPr>
      <w:rPr>
        <w:rFonts w:ascii="Symbol" w:hAnsi="Symbol" w:hint="default"/>
      </w:rPr>
    </w:lvl>
    <w:lvl w:ilvl="4" w:tplc="08090003" w:tentative="1">
      <w:start w:val="1"/>
      <w:numFmt w:val="bullet"/>
      <w:lvlText w:val="o"/>
      <w:lvlJc w:val="left"/>
      <w:pPr>
        <w:tabs>
          <w:tab w:val="num" w:pos="3611"/>
        </w:tabs>
        <w:ind w:left="3611" w:hanging="360"/>
      </w:pPr>
      <w:rPr>
        <w:rFonts w:ascii="Courier New" w:hAnsi="Courier New" w:cs="Courier New" w:hint="default"/>
      </w:rPr>
    </w:lvl>
    <w:lvl w:ilvl="5" w:tplc="08090005" w:tentative="1">
      <w:start w:val="1"/>
      <w:numFmt w:val="bullet"/>
      <w:lvlText w:val=""/>
      <w:lvlJc w:val="left"/>
      <w:pPr>
        <w:tabs>
          <w:tab w:val="num" w:pos="4331"/>
        </w:tabs>
        <w:ind w:left="4331" w:hanging="360"/>
      </w:pPr>
      <w:rPr>
        <w:rFonts w:ascii="Wingdings" w:hAnsi="Wingdings" w:hint="default"/>
      </w:rPr>
    </w:lvl>
    <w:lvl w:ilvl="6" w:tplc="08090001" w:tentative="1">
      <w:start w:val="1"/>
      <w:numFmt w:val="bullet"/>
      <w:lvlText w:val=""/>
      <w:lvlJc w:val="left"/>
      <w:pPr>
        <w:tabs>
          <w:tab w:val="num" w:pos="5051"/>
        </w:tabs>
        <w:ind w:left="5051" w:hanging="360"/>
      </w:pPr>
      <w:rPr>
        <w:rFonts w:ascii="Symbol" w:hAnsi="Symbol" w:hint="default"/>
      </w:rPr>
    </w:lvl>
    <w:lvl w:ilvl="7" w:tplc="08090003" w:tentative="1">
      <w:start w:val="1"/>
      <w:numFmt w:val="bullet"/>
      <w:lvlText w:val="o"/>
      <w:lvlJc w:val="left"/>
      <w:pPr>
        <w:tabs>
          <w:tab w:val="num" w:pos="5771"/>
        </w:tabs>
        <w:ind w:left="5771" w:hanging="360"/>
      </w:pPr>
      <w:rPr>
        <w:rFonts w:ascii="Courier New" w:hAnsi="Courier New" w:cs="Courier New" w:hint="default"/>
      </w:rPr>
    </w:lvl>
    <w:lvl w:ilvl="8" w:tplc="08090005" w:tentative="1">
      <w:start w:val="1"/>
      <w:numFmt w:val="bullet"/>
      <w:lvlText w:val=""/>
      <w:lvlJc w:val="left"/>
      <w:pPr>
        <w:tabs>
          <w:tab w:val="num" w:pos="6491"/>
        </w:tabs>
        <w:ind w:left="6491" w:hanging="360"/>
      </w:pPr>
      <w:rPr>
        <w:rFonts w:ascii="Wingdings" w:hAnsi="Wingdings" w:hint="default"/>
      </w:rPr>
    </w:lvl>
  </w:abstractNum>
  <w:abstractNum w:abstractNumId="9" w15:restartNumberingAfterBreak="0">
    <w:nsid w:val="3EC00914"/>
    <w:multiLevelType w:val="hybridMultilevel"/>
    <w:tmpl w:val="E6E0E3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4485772D"/>
    <w:multiLevelType w:val="multilevel"/>
    <w:tmpl w:val="CDE20E60"/>
    <w:lvl w:ilvl="0">
      <w:start w:val="1"/>
      <w:numFmt w:val="decimal"/>
      <w:lvlText w:val="%1."/>
      <w:lvlJc w:val="left"/>
      <w:pPr>
        <w:ind w:left="567" w:hanging="567"/>
      </w:pPr>
      <w:rPr>
        <w:rFonts w:hint="default"/>
        <w:color w:val="1D428A"/>
      </w:rPr>
    </w:lvl>
    <w:lvl w:ilvl="1">
      <w:start w:val="1"/>
      <w:numFmt w:val="decimal"/>
      <w:lvlText w:val="%1.%2."/>
      <w:lvlJc w:val="left"/>
      <w:pPr>
        <w:ind w:left="567" w:hanging="567"/>
      </w:pPr>
      <w:rPr>
        <w:rFonts w:hint="default"/>
        <w:b w:val="0"/>
        <w:color w:val="auto"/>
        <w:sz w:val="22"/>
        <w:szCs w:val="22"/>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DF337E5"/>
    <w:multiLevelType w:val="hybridMultilevel"/>
    <w:tmpl w:val="4A2A82FE"/>
    <w:lvl w:ilvl="0" w:tplc="C7B02A32">
      <w:start w:val="1"/>
      <w:numFmt w:val="bullet"/>
      <w:lvlText w:val=""/>
      <w:lvlJc w:val="left"/>
      <w:pPr>
        <w:ind w:left="-105" w:hanging="360"/>
      </w:pPr>
      <w:rPr>
        <w:rFonts w:ascii="Wingdings" w:hAnsi="Wingdings" w:hint="default"/>
        <w:color w:val="auto"/>
        <w:u w:color="92D050"/>
      </w:rPr>
    </w:lvl>
    <w:lvl w:ilvl="1" w:tplc="08090003" w:tentative="1">
      <w:start w:val="1"/>
      <w:numFmt w:val="bullet"/>
      <w:lvlText w:val="o"/>
      <w:lvlJc w:val="left"/>
      <w:pPr>
        <w:ind w:left="615" w:hanging="360"/>
      </w:pPr>
      <w:rPr>
        <w:rFonts w:ascii="Courier New" w:hAnsi="Courier New" w:cs="Courier New" w:hint="default"/>
      </w:rPr>
    </w:lvl>
    <w:lvl w:ilvl="2" w:tplc="08090005" w:tentative="1">
      <w:start w:val="1"/>
      <w:numFmt w:val="bullet"/>
      <w:lvlText w:val=""/>
      <w:lvlJc w:val="left"/>
      <w:pPr>
        <w:ind w:left="1335" w:hanging="360"/>
      </w:pPr>
      <w:rPr>
        <w:rFonts w:ascii="Wingdings" w:hAnsi="Wingdings" w:hint="default"/>
      </w:rPr>
    </w:lvl>
    <w:lvl w:ilvl="3" w:tplc="08090001" w:tentative="1">
      <w:start w:val="1"/>
      <w:numFmt w:val="bullet"/>
      <w:lvlText w:val=""/>
      <w:lvlJc w:val="left"/>
      <w:pPr>
        <w:ind w:left="2055" w:hanging="360"/>
      </w:pPr>
      <w:rPr>
        <w:rFonts w:ascii="Symbol" w:hAnsi="Symbol" w:hint="default"/>
      </w:rPr>
    </w:lvl>
    <w:lvl w:ilvl="4" w:tplc="08090003" w:tentative="1">
      <w:start w:val="1"/>
      <w:numFmt w:val="bullet"/>
      <w:lvlText w:val="o"/>
      <w:lvlJc w:val="left"/>
      <w:pPr>
        <w:ind w:left="2775" w:hanging="360"/>
      </w:pPr>
      <w:rPr>
        <w:rFonts w:ascii="Courier New" w:hAnsi="Courier New" w:cs="Courier New" w:hint="default"/>
      </w:rPr>
    </w:lvl>
    <w:lvl w:ilvl="5" w:tplc="08090005" w:tentative="1">
      <w:start w:val="1"/>
      <w:numFmt w:val="bullet"/>
      <w:lvlText w:val=""/>
      <w:lvlJc w:val="left"/>
      <w:pPr>
        <w:ind w:left="3495" w:hanging="360"/>
      </w:pPr>
      <w:rPr>
        <w:rFonts w:ascii="Wingdings" w:hAnsi="Wingdings" w:hint="default"/>
      </w:rPr>
    </w:lvl>
    <w:lvl w:ilvl="6" w:tplc="08090001" w:tentative="1">
      <w:start w:val="1"/>
      <w:numFmt w:val="bullet"/>
      <w:lvlText w:val=""/>
      <w:lvlJc w:val="left"/>
      <w:pPr>
        <w:ind w:left="4215" w:hanging="360"/>
      </w:pPr>
      <w:rPr>
        <w:rFonts w:ascii="Symbol" w:hAnsi="Symbol" w:hint="default"/>
      </w:rPr>
    </w:lvl>
    <w:lvl w:ilvl="7" w:tplc="08090003" w:tentative="1">
      <w:start w:val="1"/>
      <w:numFmt w:val="bullet"/>
      <w:lvlText w:val="o"/>
      <w:lvlJc w:val="left"/>
      <w:pPr>
        <w:ind w:left="4935" w:hanging="360"/>
      </w:pPr>
      <w:rPr>
        <w:rFonts w:ascii="Courier New" w:hAnsi="Courier New" w:cs="Courier New" w:hint="default"/>
      </w:rPr>
    </w:lvl>
    <w:lvl w:ilvl="8" w:tplc="08090005" w:tentative="1">
      <w:start w:val="1"/>
      <w:numFmt w:val="bullet"/>
      <w:lvlText w:val=""/>
      <w:lvlJc w:val="left"/>
      <w:pPr>
        <w:ind w:left="5655" w:hanging="360"/>
      </w:pPr>
      <w:rPr>
        <w:rFonts w:ascii="Wingdings" w:hAnsi="Wingdings" w:hint="default"/>
      </w:rPr>
    </w:lvl>
  </w:abstractNum>
  <w:abstractNum w:abstractNumId="12" w15:restartNumberingAfterBreak="0">
    <w:nsid w:val="4FC340DE"/>
    <w:multiLevelType w:val="hybridMultilevel"/>
    <w:tmpl w:val="7F10E54A"/>
    <w:lvl w:ilvl="0" w:tplc="0B96EFE8">
      <w:start w:val="1"/>
      <w:numFmt w:val="bullet"/>
      <w:lvlText w:val=""/>
      <w:lvlJc w:val="left"/>
      <w:pPr>
        <w:tabs>
          <w:tab w:val="num" w:pos="738"/>
        </w:tabs>
        <w:ind w:left="737" w:hanging="283"/>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5E19A1"/>
    <w:multiLevelType w:val="multilevel"/>
    <w:tmpl w:val="2D30FD86"/>
    <w:lvl w:ilvl="0">
      <w:start w:val="1"/>
      <w:numFmt w:val="decimal"/>
      <w:lvlText w:val="%1."/>
      <w:lvlJc w:val="left"/>
      <w:pPr>
        <w:tabs>
          <w:tab w:val="num" w:pos="851"/>
        </w:tabs>
        <w:ind w:left="851" w:hanging="851"/>
      </w:pPr>
      <w:rPr>
        <w:rFonts w:cs="Times New Roman" w:hint="default"/>
        <w:sz w:val="32"/>
        <w:szCs w:val="32"/>
      </w:rPr>
    </w:lvl>
    <w:lvl w:ilvl="1">
      <w:start w:val="1"/>
      <w:numFmt w:val="decimal"/>
      <w:lvlText w:val="%1.%2."/>
      <w:lvlJc w:val="left"/>
      <w:pPr>
        <w:tabs>
          <w:tab w:val="num" w:pos="851"/>
        </w:tabs>
        <w:ind w:left="851" w:hanging="851"/>
      </w:pPr>
      <w:rPr>
        <w:rFonts w:cs="Times New Roman" w:hint="default"/>
        <w:sz w:val="22"/>
        <w:szCs w:val="22"/>
      </w:rPr>
    </w:lvl>
    <w:lvl w:ilvl="2">
      <w:start w:val="1"/>
      <w:numFmt w:val="decimal"/>
      <w:suff w:val="space"/>
      <w:lvlText w:val="%1.%2.%3."/>
      <w:lvlJc w:val="left"/>
      <w:pPr>
        <w:ind w:left="851" w:hanging="851"/>
      </w:pPr>
      <w:rPr>
        <w:rFonts w:cs="Times New Roman" w:hint="default"/>
      </w:rPr>
    </w:lvl>
    <w:lvl w:ilvl="3">
      <w:start w:val="1"/>
      <w:numFmt w:val="bullet"/>
      <w:suff w:val="space"/>
      <w:lvlText w:val=""/>
      <w:lvlJc w:val="left"/>
      <w:pPr>
        <w:ind w:left="1134" w:hanging="283"/>
      </w:pPr>
      <w:rPr>
        <w:rFonts w:ascii="Symbol" w:hAnsi="Symbol" w:hint="default"/>
      </w:rPr>
    </w:lvl>
    <w:lvl w:ilvl="4">
      <w:start w:val="1"/>
      <w:numFmt w:val="lowerRoman"/>
      <w:suff w:val="space"/>
      <w:lvlText w:val="(%5)"/>
      <w:lvlJc w:val="left"/>
      <w:pPr>
        <w:ind w:left="1134" w:hanging="283"/>
      </w:pPr>
      <w:rPr>
        <w:rFonts w:cs="Times New Roman" w:hint="default"/>
      </w:rPr>
    </w:lvl>
    <w:lvl w:ilvl="5">
      <w:start w:val="1"/>
      <w:numFmt w:val="bullet"/>
      <w:lvlText w:val=""/>
      <w:lvlJc w:val="left"/>
      <w:pPr>
        <w:tabs>
          <w:tab w:val="num" w:pos="1985"/>
        </w:tabs>
        <w:ind w:left="1985" w:hanging="567"/>
      </w:pPr>
      <w:rPr>
        <w:rFonts w:ascii="Symbol" w:hAnsi="Symbol"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54B86E72"/>
    <w:multiLevelType w:val="hybridMultilevel"/>
    <w:tmpl w:val="34E0E064"/>
    <w:lvl w:ilvl="0" w:tplc="E0EC4D0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665D63"/>
    <w:multiLevelType w:val="hybridMultilevel"/>
    <w:tmpl w:val="CF7A38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59DA47BF"/>
    <w:multiLevelType w:val="hybridMultilevel"/>
    <w:tmpl w:val="BBF64EF4"/>
    <w:lvl w:ilvl="0" w:tplc="6C04420C">
      <w:start w:val="1"/>
      <w:numFmt w:val="bullet"/>
      <w:lvlText w:val=""/>
      <w:lvlJc w:val="left"/>
      <w:pPr>
        <w:tabs>
          <w:tab w:val="num" w:pos="738"/>
        </w:tabs>
        <w:ind w:left="737" w:hanging="283"/>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203E2A"/>
    <w:multiLevelType w:val="multilevel"/>
    <w:tmpl w:val="0868C9C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C184896"/>
    <w:multiLevelType w:val="multilevel"/>
    <w:tmpl w:val="EAB4822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D3F0418"/>
    <w:multiLevelType w:val="multilevel"/>
    <w:tmpl w:val="412EEA0A"/>
    <w:lvl w:ilvl="0">
      <w:start w:val="1"/>
      <w:numFmt w:val="decimal"/>
      <w:lvlText w:val="%1."/>
      <w:lvlJc w:val="left"/>
      <w:pPr>
        <w:tabs>
          <w:tab w:val="num" w:pos="567"/>
        </w:tabs>
        <w:ind w:left="567" w:hanging="567"/>
      </w:pPr>
      <w:rPr>
        <w:rFonts w:asciiTheme="minorHAnsi" w:hAnsiTheme="minorHAnsi" w:hint="default"/>
        <w:b/>
        <w:color w:val="1D428A"/>
        <w:sz w:val="24"/>
        <w:szCs w:val="24"/>
      </w:rPr>
    </w:lvl>
    <w:lvl w:ilvl="1">
      <w:start w:val="1"/>
      <w:numFmt w:val="decimal"/>
      <w:lvlText w:val="%1.%2."/>
      <w:lvlJc w:val="left"/>
      <w:pPr>
        <w:tabs>
          <w:tab w:val="num" w:pos="567"/>
        </w:tabs>
        <w:ind w:left="567" w:hanging="567"/>
      </w:pPr>
      <w:rPr>
        <w:rFonts w:hint="default"/>
        <w:b w:val="0"/>
        <w:color w:val="auto"/>
        <w:sz w:val="22"/>
        <w:szCs w:val="22"/>
      </w:rPr>
    </w:lvl>
    <w:lvl w:ilvl="2">
      <w:start w:val="1"/>
      <w:numFmt w:val="decimal"/>
      <w:lvlText w:val="%1.%2.%3."/>
      <w:lvlJc w:val="left"/>
      <w:pPr>
        <w:tabs>
          <w:tab w:val="num" w:pos="567"/>
        </w:tabs>
        <w:ind w:left="567" w:hanging="567"/>
      </w:pPr>
      <w:rPr>
        <w:rFonts w:hint="default"/>
        <w:color w:val="404040" w:themeColor="text1" w:themeTint="BF"/>
      </w:rPr>
    </w:lvl>
    <w:lvl w:ilvl="3">
      <w:start w:val="1"/>
      <w:numFmt w:val="bullet"/>
      <w:lvlText w:val=""/>
      <w:lvlJc w:val="left"/>
      <w:pPr>
        <w:tabs>
          <w:tab w:val="num" w:pos="1134"/>
        </w:tabs>
        <w:ind w:left="1134" w:hanging="567"/>
      </w:pPr>
      <w:rPr>
        <w:rFonts w:ascii="Symbol" w:hAnsi="Symbol" w:hint="default"/>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985"/>
        </w:tabs>
        <w:ind w:left="1985" w:hanging="567"/>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C6241DE"/>
    <w:multiLevelType w:val="hybridMultilevel"/>
    <w:tmpl w:val="CE8209A2"/>
    <w:lvl w:ilvl="0" w:tplc="49940D20">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3B96137"/>
    <w:multiLevelType w:val="hybridMultilevel"/>
    <w:tmpl w:val="36BE71C2"/>
    <w:lvl w:ilvl="0" w:tplc="93D6F384">
      <w:start w:val="1"/>
      <w:numFmt w:val="bullet"/>
      <w:lvlText w:val=""/>
      <w:lvlJc w:val="left"/>
      <w:pPr>
        <w:tabs>
          <w:tab w:val="num" w:pos="738"/>
        </w:tabs>
        <w:ind w:left="737" w:hanging="283"/>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594701"/>
    <w:multiLevelType w:val="hybridMultilevel"/>
    <w:tmpl w:val="839467D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682779072">
    <w:abstractNumId w:val="17"/>
  </w:num>
  <w:num w:numId="2" w16cid:durableId="1206019006">
    <w:abstractNumId w:val="18"/>
  </w:num>
  <w:num w:numId="3" w16cid:durableId="891885860">
    <w:abstractNumId w:val="13"/>
  </w:num>
  <w:num w:numId="4" w16cid:durableId="563836146">
    <w:abstractNumId w:val="7"/>
  </w:num>
  <w:num w:numId="5" w16cid:durableId="262302880">
    <w:abstractNumId w:val="3"/>
  </w:num>
  <w:num w:numId="6" w16cid:durableId="150023096">
    <w:abstractNumId w:val="20"/>
  </w:num>
  <w:num w:numId="7" w16cid:durableId="1398019540">
    <w:abstractNumId w:val="1"/>
  </w:num>
  <w:num w:numId="8" w16cid:durableId="1374109348">
    <w:abstractNumId w:val="6"/>
  </w:num>
  <w:num w:numId="9" w16cid:durableId="282420003">
    <w:abstractNumId w:val="4"/>
  </w:num>
  <w:num w:numId="10" w16cid:durableId="628049900">
    <w:abstractNumId w:val="9"/>
  </w:num>
  <w:num w:numId="11" w16cid:durableId="1665431153">
    <w:abstractNumId w:val="15"/>
  </w:num>
  <w:num w:numId="12" w16cid:durableId="1892230849">
    <w:abstractNumId w:val="22"/>
  </w:num>
  <w:num w:numId="13" w16cid:durableId="717898669">
    <w:abstractNumId w:val="5"/>
  </w:num>
  <w:num w:numId="14" w16cid:durableId="1086538012">
    <w:abstractNumId w:val="12"/>
  </w:num>
  <w:num w:numId="15" w16cid:durableId="1632201608">
    <w:abstractNumId w:val="21"/>
  </w:num>
  <w:num w:numId="16" w16cid:durableId="804855460">
    <w:abstractNumId w:val="2"/>
  </w:num>
  <w:num w:numId="17" w16cid:durableId="259335891">
    <w:abstractNumId w:val="16"/>
  </w:num>
  <w:num w:numId="18" w16cid:durableId="275448835">
    <w:abstractNumId w:val="8"/>
  </w:num>
  <w:num w:numId="19" w16cid:durableId="951131306">
    <w:abstractNumId w:val="11"/>
  </w:num>
  <w:num w:numId="20" w16cid:durableId="592397044">
    <w:abstractNumId w:val="10"/>
  </w:num>
  <w:num w:numId="21" w16cid:durableId="803037102">
    <w:abstractNumId w:val="19"/>
  </w:num>
  <w:num w:numId="22" w16cid:durableId="527724393">
    <w:abstractNumId w:val="14"/>
  </w:num>
  <w:num w:numId="23" w16cid:durableId="608396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1146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20E"/>
    <w:rsid w:val="00000900"/>
    <w:rsid w:val="000037F3"/>
    <w:rsid w:val="00021830"/>
    <w:rsid w:val="00024F7F"/>
    <w:rsid w:val="0002799F"/>
    <w:rsid w:val="000308BA"/>
    <w:rsid w:val="000320EC"/>
    <w:rsid w:val="00034450"/>
    <w:rsid w:val="0004014F"/>
    <w:rsid w:val="00041678"/>
    <w:rsid w:val="000453C6"/>
    <w:rsid w:val="00045720"/>
    <w:rsid w:val="0004676B"/>
    <w:rsid w:val="00051858"/>
    <w:rsid w:val="000549A5"/>
    <w:rsid w:val="000602EA"/>
    <w:rsid w:val="00060410"/>
    <w:rsid w:val="0006627B"/>
    <w:rsid w:val="00071379"/>
    <w:rsid w:val="00073342"/>
    <w:rsid w:val="00077609"/>
    <w:rsid w:val="00096ECB"/>
    <w:rsid w:val="00097292"/>
    <w:rsid w:val="000B12E7"/>
    <w:rsid w:val="000B1A2A"/>
    <w:rsid w:val="000B304B"/>
    <w:rsid w:val="000B3309"/>
    <w:rsid w:val="000B36DF"/>
    <w:rsid w:val="000B55FC"/>
    <w:rsid w:val="000C0B9F"/>
    <w:rsid w:val="000C1507"/>
    <w:rsid w:val="000D0341"/>
    <w:rsid w:val="000D3AF8"/>
    <w:rsid w:val="000E7EA7"/>
    <w:rsid w:val="000F1591"/>
    <w:rsid w:val="000F4405"/>
    <w:rsid w:val="00104701"/>
    <w:rsid w:val="00107B98"/>
    <w:rsid w:val="00112A46"/>
    <w:rsid w:val="00113977"/>
    <w:rsid w:val="00120D1F"/>
    <w:rsid w:val="00124A5E"/>
    <w:rsid w:val="00130E05"/>
    <w:rsid w:val="001324EB"/>
    <w:rsid w:val="001326A5"/>
    <w:rsid w:val="00140BD8"/>
    <w:rsid w:val="00141193"/>
    <w:rsid w:val="001416CE"/>
    <w:rsid w:val="00142840"/>
    <w:rsid w:val="0014390A"/>
    <w:rsid w:val="00143D87"/>
    <w:rsid w:val="00144C3C"/>
    <w:rsid w:val="00147B5C"/>
    <w:rsid w:val="00150B05"/>
    <w:rsid w:val="00161B07"/>
    <w:rsid w:val="00164A2D"/>
    <w:rsid w:val="0016583F"/>
    <w:rsid w:val="00167357"/>
    <w:rsid w:val="0017080C"/>
    <w:rsid w:val="00175515"/>
    <w:rsid w:val="00176054"/>
    <w:rsid w:val="00185820"/>
    <w:rsid w:val="00186D19"/>
    <w:rsid w:val="00190CB2"/>
    <w:rsid w:val="001932D7"/>
    <w:rsid w:val="00193BBF"/>
    <w:rsid w:val="00197038"/>
    <w:rsid w:val="001A16DC"/>
    <w:rsid w:val="001A1DF8"/>
    <w:rsid w:val="001A2838"/>
    <w:rsid w:val="001B1C79"/>
    <w:rsid w:val="001B2973"/>
    <w:rsid w:val="001B3D59"/>
    <w:rsid w:val="001B424A"/>
    <w:rsid w:val="001B669E"/>
    <w:rsid w:val="001C1BF4"/>
    <w:rsid w:val="001C428F"/>
    <w:rsid w:val="001C4DE9"/>
    <w:rsid w:val="001D0192"/>
    <w:rsid w:val="001D3B82"/>
    <w:rsid w:val="001D7C93"/>
    <w:rsid w:val="001D7CC4"/>
    <w:rsid w:val="001E0189"/>
    <w:rsid w:val="001E0C5E"/>
    <w:rsid w:val="001E38D7"/>
    <w:rsid w:val="001E476F"/>
    <w:rsid w:val="001E5A1F"/>
    <w:rsid w:val="001E5C4B"/>
    <w:rsid w:val="001F745D"/>
    <w:rsid w:val="001F7CB6"/>
    <w:rsid w:val="00210730"/>
    <w:rsid w:val="0021463D"/>
    <w:rsid w:val="00215D41"/>
    <w:rsid w:val="00222E4F"/>
    <w:rsid w:val="00230E27"/>
    <w:rsid w:val="00243E60"/>
    <w:rsid w:val="00245A2F"/>
    <w:rsid w:val="0026249F"/>
    <w:rsid w:val="0026254F"/>
    <w:rsid w:val="00266495"/>
    <w:rsid w:val="002726C3"/>
    <w:rsid w:val="002747F1"/>
    <w:rsid w:val="00276C1F"/>
    <w:rsid w:val="00276D2C"/>
    <w:rsid w:val="002772E4"/>
    <w:rsid w:val="00277708"/>
    <w:rsid w:val="00277D3D"/>
    <w:rsid w:val="002820C8"/>
    <w:rsid w:val="002846D1"/>
    <w:rsid w:val="002870DC"/>
    <w:rsid w:val="0029014A"/>
    <w:rsid w:val="00293334"/>
    <w:rsid w:val="002A6220"/>
    <w:rsid w:val="002A63B9"/>
    <w:rsid w:val="002A71D3"/>
    <w:rsid w:val="002B3D7F"/>
    <w:rsid w:val="002C0A27"/>
    <w:rsid w:val="002C24AC"/>
    <w:rsid w:val="002C62F8"/>
    <w:rsid w:val="002D0D0C"/>
    <w:rsid w:val="002D4365"/>
    <w:rsid w:val="002D5D11"/>
    <w:rsid w:val="002D68A3"/>
    <w:rsid w:val="002E1785"/>
    <w:rsid w:val="002E2CB2"/>
    <w:rsid w:val="002E423A"/>
    <w:rsid w:val="002F0029"/>
    <w:rsid w:val="002F11A4"/>
    <w:rsid w:val="002F1497"/>
    <w:rsid w:val="002F4320"/>
    <w:rsid w:val="002F57F2"/>
    <w:rsid w:val="00300926"/>
    <w:rsid w:val="003137E7"/>
    <w:rsid w:val="003175FB"/>
    <w:rsid w:val="003226AD"/>
    <w:rsid w:val="003316FA"/>
    <w:rsid w:val="0034422B"/>
    <w:rsid w:val="003463F5"/>
    <w:rsid w:val="003472EE"/>
    <w:rsid w:val="00350271"/>
    <w:rsid w:val="003564D5"/>
    <w:rsid w:val="003566A1"/>
    <w:rsid w:val="00357298"/>
    <w:rsid w:val="003605C3"/>
    <w:rsid w:val="003639D7"/>
    <w:rsid w:val="00364CFE"/>
    <w:rsid w:val="00366568"/>
    <w:rsid w:val="00370275"/>
    <w:rsid w:val="00371ADC"/>
    <w:rsid w:val="00374A02"/>
    <w:rsid w:val="00375518"/>
    <w:rsid w:val="00376054"/>
    <w:rsid w:val="0037681A"/>
    <w:rsid w:val="00376AC3"/>
    <w:rsid w:val="00383B6E"/>
    <w:rsid w:val="00386D98"/>
    <w:rsid w:val="00390F33"/>
    <w:rsid w:val="00397EB7"/>
    <w:rsid w:val="003A2E69"/>
    <w:rsid w:val="003A3069"/>
    <w:rsid w:val="003A4EC3"/>
    <w:rsid w:val="003B2AE3"/>
    <w:rsid w:val="003C0876"/>
    <w:rsid w:val="003C1655"/>
    <w:rsid w:val="003C18DE"/>
    <w:rsid w:val="003D44F7"/>
    <w:rsid w:val="003E05D6"/>
    <w:rsid w:val="003E0E4C"/>
    <w:rsid w:val="003E25FC"/>
    <w:rsid w:val="003E6980"/>
    <w:rsid w:val="003E6A12"/>
    <w:rsid w:val="003F0A47"/>
    <w:rsid w:val="003F6315"/>
    <w:rsid w:val="0040455D"/>
    <w:rsid w:val="004051B5"/>
    <w:rsid w:val="00410CD2"/>
    <w:rsid w:val="004147CB"/>
    <w:rsid w:val="00414F0F"/>
    <w:rsid w:val="0041541C"/>
    <w:rsid w:val="00417950"/>
    <w:rsid w:val="0043127D"/>
    <w:rsid w:val="004317F7"/>
    <w:rsid w:val="00431C11"/>
    <w:rsid w:val="00443560"/>
    <w:rsid w:val="004530F9"/>
    <w:rsid w:val="00455EA7"/>
    <w:rsid w:val="00456926"/>
    <w:rsid w:val="00460782"/>
    <w:rsid w:val="004610B1"/>
    <w:rsid w:val="00461252"/>
    <w:rsid w:val="00461F71"/>
    <w:rsid w:val="00471CD2"/>
    <w:rsid w:val="00475F44"/>
    <w:rsid w:val="00485651"/>
    <w:rsid w:val="00487B15"/>
    <w:rsid w:val="004904FA"/>
    <w:rsid w:val="004A2A05"/>
    <w:rsid w:val="004A5BBE"/>
    <w:rsid w:val="004C293E"/>
    <w:rsid w:val="004C6962"/>
    <w:rsid w:val="004D3603"/>
    <w:rsid w:val="004D4332"/>
    <w:rsid w:val="004D4BC8"/>
    <w:rsid w:val="004E2664"/>
    <w:rsid w:val="004E2797"/>
    <w:rsid w:val="004E4B34"/>
    <w:rsid w:val="004E65D1"/>
    <w:rsid w:val="004E7EE4"/>
    <w:rsid w:val="004F5F63"/>
    <w:rsid w:val="00502B66"/>
    <w:rsid w:val="005169A7"/>
    <w:rsid w:val="0052303A"/>
    <w:rsid w:val="00524515"/>
    <w:rsid w:val="00526EA1"/>
    <w:rsid w:val="0053081B"/>
    <w:rsid w:val="00532223"/>
    <w:rsid w:val="00535C33"/>
    <w:rsid w:val="005412B2"/>
    <w:rsid w:val="005519FE"/>
    <w:rsid w:val="00554148"/>
    <w:rsid w:val="00556673"/>
    <w:rsid w:val="00560F27"/>
    <w:rsid w:val="005613F9"/>
    <w:rsid w:val="00570DF2"/>
    <w:rsid w:val="00574BFB"/>
    <w:rsid w:val="005827BA"/>
    <w:rsid w:val="00585D3D"/>
    <w:rsid w:val="00593C40"/>
    <w:rsid w:val="005965E7"/>
    <w:rsid w:val="005B1CE3"/>
    <w:rsid w:val="005B6300"/>
    <w:rsid w:val="005D1206"/>
    <w:rsid w:val="005D19F6"/>
    <w:rsid w:val="005D4EAD"/>
    <w:rsid w:val="005D6670"/>
    <w:rsid w:val="005F29E0"/>
    <w:rsid w:val="005F33A9"/>
    <w:rsid w:val="005F6999"/>
    <w:rsid w:val="00604FCD"/>
    <w:rsid w:val="00605C02"/>
    <w:rsid w:val="00610CB7"/>
    <w:rsid w:val="0061229B"/>
    <w:rsid w:val="00615495"/>
    <w:rsid w:val="006175C8"/>
    <w:rsid w:val="00620E4F"/>
    <w:rsid w:val="00621A2D"/>
    <w:rsid w:val="00622AC1"/>
    <w:rsid w:val="006248C1"/>
    <w:rsid w:val="00625712"/>
    <w:rsid w:val="00625DEF"/>
    <w:rsid w:val="00631D91"/>
    <w:rsid w:val="0063571C"/>
    <w:rsid w:val="00641ABB"/>
    <w:rsid w:val="006522EF"/>
    <w:rsid w:val="00655E49"/>
    <w:rsid w:val="006572C3"/>
    <w:rsid w:val="00666EE3"/>
    <w:rsid w:val="00667CEB"/>
    <w:rsid w:val="00671B53"/>
    <w:rsid w:val="00674DDF"/>
    <w:rsid w:val="00675178"/>
    <w:rsid w:val="00677202"/>
    <w:rsid w:val="00677C24"/>
    <w:rsid w:val="00680668"/>
    <w:rsid w:val="00680F5E"/>
    <w:rsid w:val="00681E53"/>
    <w:rsid w:val="00682445"/>
    <w:rsid w:val="00685A58"/>
    <w:rsid w:val="00692A9A"/>
    <w:rsid w:val="00692D12"/>
    <w:rsid w:val="006963C0"/>
    <w:rsid w:val="00697554"/>
    <w:rsid w:val="006A3A0D"/>
    <w:rsid w:val="006A3A19"/>
    <w:rsid w:val="006A686A"/>
    <w:rsid w:val="006A73F0"/>
    <w:rsid w:val="006B6FBA"/>
    <w:rsid w:val="006C0482"/>
    <w:rsid w:val="006C20CA"/>
    <w:rsid w:val="006C2D63"/>
    <w:rsid w:val="006C5E88"/>
    <w:rsid w:val="006C6345"/>
    <w:rsid w:val="006C65CA"/>
    <w:rsid w:val="006D13F2"/>
    <w:rsid w:val="006D76D7"/>
    <w:rsid w:val="006E1A50"/>
    <w:rsid w:val="006E5DBF"/>
    <w:rsid w:val="006E7F50"/>
    <w:rsid w:val="006F64E3"/>
    <w:rsid w:val="006F6C08"/>
    <w:rsid w:val="0070298D"/>
    <w:rsid w:val="007036E7"/>
    <w:rsid w:val="00711B2E"/>
    <w:rsid w:val="00715A15"/>
    <w:rsid w:val="00716222"/>
    <w:rsid w:val="007164B1"/>
    <w:rsid w:val="007204FD"/>
    <w:rsid w:val="00720866"/>
    <w:rsid w:val="00725430"/>
    <w:rsid w:val="0072606B"/>
    <w:rsid w:val="007316A2"/>
    <w:rsid w:val="00735EAA"/>
    <w:rsid w:val="007412AF"/>
    <w:rsid w:val="00741865"/>
    <w:rsid w:val="007418B8"/>
    <w:rsid w:val="00744345"/>
    <w:rsid w:val="00747879"/>
    <w:rsid w:val="00751DC4"/>
    <w:rsid w:val="00752F41"/>
    <w:rsid w:val="00764B44"/>
    <w:rsid w:val="00765E06"/>
    <w:rsid w:val="007667DA"/>
    <w:rsid w:val="0077306F"/>
    <w:rsid w:val="00773BA6"/>
    <w:rsid w:val="00777623"/>
    <w:rsid w:val="0078600F"/>
    <w:rsid w:val="00793864"/>
    <w:rsid w:val="007955E1"/>
    <w:rsid w:val="007A4C90"/>
    <w:rsid w:val="007A6816"/>
    <w:rsid w:val="007B044D"/>
    <w:rsid w:val="007B238D"/>
    <w:rsid w:val="007B7963"/>
    <w:rsid w:val="007C3386"/>
    <w:rsid w:val="007C545E"/>
    <w:rsid w:val="007D0021"/>
    <w:rsid w:val="007D1729"/>
    <w:rsid w:val="007E54DB"/>
    <w:rsid w:val="00802EBC"/>
    <w:rsid w:val="00803698"/>
    <w:rsid w:val="0081091A"/>
    <w:rsid w:val="008154EC"/>
    <w:rsid w:val="0081719F"/>
    <w:rsid w:val="0081724B"/>
    <w:rsid w:val="00820470"/>
    <w:rsid w:val="00821BFD"/>
    <w:rsid w:val="008258F2"/>
    <w:rsid w:val="00830A2B"/>
    <w:rsid w:val="008401B8"/>
    <w:rsid w:val="0085011C"/>
    <w:rsid w:val="00863786"/>
    <w:rsid w:val="00863F69"/>
    <w:rsid w:val="00867E14"/>
    <w:rsid w:val="008866E7"/>
    <w:rsid w:val="008A1634"/>
    <w:rsid w:val="008A1DE1"/>
    <w:rsid w:val="008A7717"/>
    <w:rsid w:val="008B54F4"/>
    <w:rsid w:val="008C2AD3"/>
    <w:rsid w:val="008C5A23"/>
    <w:rsid w:val="008D094F"/>
    <w:rsid w:val="008D3A1D"/>
    <w:rsid w:val="008D5895"/>
    <w:rsid w:val="008D7036"/>
    <w:rsid w:val="008D752E"/>
    <w:rsid w:val="008E5BC0"/>
    <w:rsid w:val="008E7D8D"/>
    <w:rsid w:val="008F0637"/>
    <w:rsid w:val="008F7D34"/>
    <w:rsid w:val="0090730A"/>
    <w:rsid w:val="00907A39"/>
    <w:rsid w:val="00912642"/>
    <w:rsid w:val="009147EE"/>
    <w:rsid w:val="00917950"/>
    <w:rsid w:val="00922043"/>
    <w:rsid w:val="00925924"/>
    <w:rsid w:val="009261F6"/>
    <w:rsid w:val="00931CBE"/>
    <w:rsid w:val="0094033E"/>
    <w:rsid w:val="00940357"/>
    <w:rsid w:val="00947F82"/>
    <w:rsid w:val="00957377"/>
    <w:rsid w:val="009816F2"/>
    <w:rsid w:val="00984DD0"/>
    <w:rsid w:val="00986408"/>
    <w:rsid w:val="00992DD8"/>
    <w:rsid w:val="00995A06"/>
    <w:rsid w:val="009A10AA"/>
    <w:rsid w:val="009A1F3D"/>
    <w:rsid w:val="009B0D91"/>
    <w:rsid w:val="009C058F"/>
    <w:rsid w:val="009C5FA9"/>
    <w:rsid w:val="009C60E5"/>
    <w:rsid w:val="009D2414"/>
    <w:rsid w:val="009D79B3"/>
    <w:rsid w:val="009E0BD8"/>
    <w:rsid w:val="009E0CCD"/>
    <w:rsid w:val="009E3EF5"/>
    <w:rsid w:val="009E6E8F"/>
    <w:rsid w:val="009F190E"/>
    <w:rsid w:val="009F3521"/>
    <w:rsid w:val="00A1076E"/>
    <w:rsid w:val="00A16E13"/>
    <w:rsid w:val="00A259A5"/>
    <w:rsid w:val="00A3144D"/>
    <w:rsid w:val="00A327AB"/>
    <w:rsid w:val="00A346E0"/>
    <w:rsid w:val="00A36D9C"/>
    <w:rsid w:val="00A52DA8"/>
    <w:rsid w:val="00A54E11"/>
    <w:rsid w:val="00A55B35"/>
    <w:rsid w:val="00A57FE8"/>
    <w:rsid w:val="00A61E29"/>
    <w:rsid w:val="00A62166"/>
    <w:rsid w:val="00A66D67"/>
    <w:rsid w:val="00A67733"/>
    <w:rsid w:val="00A70770"/>
    <w:rsid w:val="00A80695"/>
    <w:rsid w:val="00A81BA5"/>
    <w:rsid w:val="00A82C1B"/>
    <w:rsid w:val="00A856D6"/>
    <w:rsid w:val="00A96354"/>
    <w:rsid w:val="00AA3A06"/>
    <w:rsid w:val="00AA40ED"/>
    <w:rsid w:val="00AA7684"/>
    <w:rsid w:val="00AA78CF"/>
    <w:rsid w:val="00AB19BA"/>
    <w:rsid w:val="00AC3695"/>
    <w:rsid w:val="00AC3D3B"/>
    <w:rsid w:val="00AC45E6"/>
    <w:rsid w:val="00AD0871"/>
    <w:rsid w:val="00AD0E0A"/>
    <w:rsid w:val="00AD40E6"/>
    <w:rsid w:val="00AE2FD5"/>
    <w:rsid w:val="00AE4596"/>
    <w:rsid w:val="00AE613B"/>
    <w:rsid w:val="00AF4739"/>
    <w:rsid w:val="00B00DF3"/>
    <w:rsid w:val="00B0234F"/>
    <w:rsid w:val="00B02F80"/>
    <w:rsid w:val="00B03451"/>
    <w:rsid w:val="00B11433"/>
    <w:rsid w:val="00B125DD"/>
    <w:rsid w:val="00B12EC5"/>
    <w:rsid w:val="00B138D4"/>
    <w:rsid w:val="00B149B5"/>
    <w:rsid w:val="00B318F4"/>
    <w:rsid w:val="00B35894"/>
    <w:rsid w:val="00B361DD"/>
    <w:rsid w:val="00B37597"/>
    <w:rsid w:val="00B378F7"/>
    <w:rsid w:val="00B37F60"/>
    <w:rsid w:val="00B425E9"/>
    <w:rsid w:val="00B431BC"/>
    <w:rsid w:val="00B462E3"/>
    <w:rsid w:val="00B64CB4"/>
    <w:rsid w:val="00B66CDF"/>
    <w:rsid w:val="00B70DDE"/>
    <w:rsid w:val="00B732E6"/>
    <w:rsid w:val="00B81221"/>
    <w:rsid w:val="00B825A8"/>
    <w:rsid w:val="00B839BC"/>
    <w:rsid w:val="00B910A1"/>
    <w:rsid w:val="00B926F4"/>
    <w:rsid w:val="00B92B50"/>
    <w:rsid w:val="00BA10C6"/>
    <w:rsid w:val="00BA262B"/>
    <w:rsid w:val="00BA7643"/>
    <w:rsid w:val="00BB558B"/>
    <w:rsid w:val="00BB5734"/>
    <w:rsid w:val="00BC4F38"/>
    <w:rsid w:val="00BC64AD"/>
    <w:rsid w:val="00BD2688"/>
    <w:rsid w:val="00BD3241"/>
    <w:rsid w:val="00BD5BD6"/>
    <w:rsid w:val="00BD74A8"/>
    <w:rsid w:val="00BE358C"/>
    <w:rsid w:val="00BE641F"/>
    <w:rsid w:val="00BF1609"/>
    <w:rsid w:val="00BF2AB3"/>
    <w:rsid w:val="00C13703"/>
    <w:rsid w:val="00C14C17"/>
    <w:rsid w:val="00C162D2"/>
    <w:rsid w:val="00C17A74"/>
    <w:rsid w:val="00C17CCF"/>
    <w:rsid w:val="00C2185B"/>
    <w:rsid w:val="00C23B5D"/>
    <w:rsid w:val="00C276A2"/>
    <w:rsid w:val="00C360F5"/>
    <w:rsid w:val="00C44ADC"/>
    <w:rsid w:val="00C4561A"/>
    <w:rsid w:val="00C45C7A"/>
    <w:rsid w:val="00C45FF3"/>
    <w:rsid w:val="00C47338"/>
    <w:rsid w:val="00C5032B"/>
    <w:rsid w:val="00C524D0"/>
    <w:rsid w:val="00C60617"/>
    <w:rsid w:val="00C60A51"/>
    <w:rsid w:val="00C61BE7"/>
    <w:rsid w:val="00C62277"/>
    <w:rsid w:val="00C632CE"/>
    <w:rsid w:val="00C71369"/>
    <w:rsid w:val="00C71E1E"/>
    <w:rsid w:val="00C75002"/>
    <w:rsid w:val="00C757DC"/>
    <w:rsid w:val="00C77F40"/>
    <w:rsid w:val="00C80A5D"/>
    <w:rsid w:val="00C8149C"/>
    <w:rsid w:val="00C83FA8"/>
    <w:rsid w:val="00C91722"/>
    <w:rsid w:val="00C9242D"/>
    <w:rsid w:val="00C96847"/>
    <w:rsid w:val="00C974D2"/>
    <w:rsid w:val="00C976E7"/>
    <w:rsid w:val="00CA0A5F"/>
    <w:rsid w:val="00CA111F"/>
    <w:rsid w:val="00CA3D25"/>
    <w:rsid w:val="00CB0CBA"/>
    <w:rsid w:val="00CB1FB5"/>
    <w:rsid w:val="00CC2AC4"/>
    <w:rsid w:val="00CC2E0C"/>
    <w:rsid w:val="00CC34AB"/>
    <w:rsid w:val="00CC7076"/>
    <w:rsid w:val="00CE2C07"/>
    <w:rsid w:val="00CF0C42"/>
    <w:rsid w:val="00CF28C3"/>
    <w:rsid w:val="00CF6C54"/>
    <w:rsid w:val="00D02D77"/>
    <w:rsid w:val="00D050FC"/>
    <w:rsid w:val="00D060FA"/>
    <w:rsid w:val="00D07558"/>
    <w:rsid w:val="00D139F4"/>
    <w:rsid w:val="00D15425"/>
    <w:rsid w:val="00D175B3"/>
    <w:rsid w:val="00D23B07"/>
    <w:rsid w:val="00D26661"/>
    <w:rsid w:val="00D32E95"/>
    <w:rsid w:val="00D45044"/>
    <w:rsid w:val="00D454E9"/>
    <w:rsid w:val="00D4675A"/>
    <w:rsid w:val="00D51246"/>
    <w:rsid w:val="00D5277D"/>
    <w:rsid w:val="00D62108"/>
    <w:rsid w:val="00D64D4A"/>
    <w:rsid w:val="00D65E32"/>
    <w:rsid w:val="00D667A3"/>
    <w:rsid w:val="00D70C16"/>
    <w:rsid w:val="00D71E77"/>
    <w:rsid w:val="00D752EE"/>
    <w:rsid w:val="00D76B76"/>
    <w:rsid w:val="00D80750"/>
    <w:rsid w:val="00D91720"/>
    <w:rsid w:val="00D924B3"/>
    <w:rsid w:val="00D92BEB"/>
    <w:rsid w:val="00D93C91"/>
    <w:rsid w:val="00D95D44"/>
    <w:rsid w:val="00D96374"/>
    <w:rsid w:val="00D96CEC"/>
    <w:rsid w:val="00D976DD"/>
    <w:rsid w:val="00DA23BC"/>
    <w:rsid w:val="00DA515D"/>
    <w:rsid w:val="00DB00C1"/>
    <w:rsid w:val="00DB3C82"/>
    <w:rsid w:val="00DB5DCE"/>
    <w:rsid w:val="00DC19D2"/>
    <w:rsid w:val="00DC3DA7"/>
    <w:rsid w:val="00DC7E44"/>
    <w:rsid w:val="00DD120E"/>
    <w:rsid w:val="00DE03EB"/>
    <w:rsid w:val="00DE0E98"/>
    <w:rsid w:val="00DE313C"/>
    <w:rsid w:val="00DE7BD3"/>
    <w:rsid w:val="00DF54F4"/>
    <w:rsid w:val="00DF5D71"/>
    <w:rsid w:val="00DF6D79"/>
    <w:rsid w:val="00E004F8"/>
    <w:rsid w:val="00E050D2"/>
    <w:rsid w:val="00E1072F"/>
    <w:rsid w:val="00E12602"/>
    <w:rsid w:val="00E16F2A"/>
    <w:rsid w:val="00E20AA0"/>
    <w:rsid w:val="00E21398"/>
    <w:rsid w:val="00E32EE1"/>
    <w:rsid w:val="00E35C67"/>
    <w:rsid w:val="00E42F9C"/>
    <w:rsid w:val="00E4373F"/>
    <w:rsid w:val="00E458A0"/>
    <w:rsid w:val="00E55E29"/>
    <w:rsid w:val="00E61DE2"/>
    <w:rsid w:val="00E6308C"/>
    <w:rsid w:val="00E653BE"/>
    <w:rsid w:val="00E66133"/>
    <w:rsid w:val="00E72925"/>
    <w:rsid w:val="00E80F81"/>
    <w:rsid w:val="00E823CA"/>
    <w:rsid w:val="00E825F8"/>
    <w:rsid w:val="00E84D76"/>
    <w:rsid w:val="00E93493"/>
    <w:rsid w:val="00EA0F6D"/>
    <w:rsid w:val="00EA4317"/>
    <w:rsid w:val="00EA5387"/>
    <w:rsid w:val="00EA6949"/>
    <w:rsid w:val="00EB1222"/>
    <w:rsid w:val="00EB4F36"/>
    <w:rsid w:val="00EB752A"/>
    <w:rsid w:val="00EB7EAF"/>
    <w:rsid w:val="00EC27A1"/>
    <w:rsid w:val="00EC69A7"/>
    <w:rsid w:val="00ED5508"/>
    <w:rsid w:val="00EE11F3"/>
    <w:rsid w:val="00EE6834"/>
    <w:rsid w:val="00EE7245"/>
    <w:rsid w:val="00EF3DB8"/>
    <w:rsid w:val="00EF7C97"/>
    <w:rsid w:val="00F02B5C"/>
    <w:rsid w:val="00F033B2"/>
    <w:rsid w:val="00F102C6"/>
    <w:rsid w:val="00F35741"/>
    <w:rsid w:val="00F44C57"/>
    <w:rsid w:val="00F5119A"/>
    <w:rsid w:val="00F535DE"/>
    <w:rsid w:val="00F54436"/>
    <w:rsid w:val="00F554CF"/>
    <w:rsid w:val="00F6147E"/>
    <w:rsid w:val="00F63059"/>
    <w:rsid w:val="00F71E08"/>
    <w:rsid w:val="00F73842"/>
    <w:rsid w:val="00F81D17"/>
    <w:rsid w:val="00F91234"/>
    <w:rsid w:val="00FA29D1"/>
    <w:rsid w:val="00FA2C5A"/>
    <w:rsid w:val="00FA4D6E"/>
    <w:rsid w:val="00FB429C"/>
    <w:rsid w:val="00FC219E"/>
    <w:rsid w:val="00FC28E7"/>
    <w:rsid w:val="00FC38AE"/>
    <w:rsid w:val="00FD62C7"/>
    <w:rsid w:val="00FD7FD8"/>
    <w:rsid w:val="00FE27CB"/>
    <w:rsid w:val="00FE4159"/>
    <w:rsid w:val="00FF2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75E2C9D2"/>
  <w15:docId w15:val="{68E70A8E-C655-4B2A-BC5F-481DE602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autoRedefine/>
    <w:qFormat/>
    <w:pPr>
      <w:keepNext/>
      <w:outlineLvl w:val="0"/>
    </w:pPr>
    <w:rPr>
      <w:rFonts w:cs="Arial"/>
      <w:b/>
      <w:sz w:val="22"/>
      <w:szCs w:val="24"/>
      <w:u w:val="thick"/>
      <w:lang w:val="en-GB"/>
    </w:rPr>
  </w:style>
  <w:style w:type="paragraph" w:styleId="Heading2">
    <w:name w:val="heading 2"/>
    <w:basedOn w:val="Normal"/>
    <w:next w:val="Normal"/>
    <w:link w:val="Heading2Char"/>
    <w:semiHidden/>
    <w:unhideWhenUsed/>
    <w:qFormat/>
    <w:rsid w:val="00E35C6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93C4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D1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2D5D11"/>
  </w:style>
  <w:style w:type="paragraph" w:styleId="Header">
    <w:name w:val="header"/>
    <w:basedOn w:val="Normal"/>
    <w:link w:val="HeaderChar"/>
    <w:uiPriority w:val="99"/>
    <w:rsid w:val="002A71D3"/>
    <w:pPr>
      <w:tabs>
        <w:tab w:val="center" w:pos="4153"/>
        <w:tab w:val="right" w:pos="8306"/>
      </w:tabs>
    </w:pPr>
  </w:style>
  <w:style w:type="paragraph" w:styleId="Footer">
    <w:name w:val="footer"/>
    <w:basedOn w:val="Normal"/>
    <w:link w:val="FooterChar"/>
    <w:uiPriority w:val="99"/>
    <w:rsid w:val="002A71D3"/>
    <w:pPr>
      <w:tabs>
        <w:tab w:val="center" w:pos="4153"/>
        <w:tab w:val="right" w:pos="8306"/>
      </w:tabs>
    </w:pPr>
  </w:style>
  <w:style w:type="character" w:styleId="PageNumber">
    <w:name w:val="page number"/>
    <w:basedOn w:val="DefaultParagraphFont"/>
    <w:rsid w:val="002A71D3"/>
  </w:style>
  <w:style w:type="paragraph" w:styleId="DocumentMap">
    <w:name w:val="Document Map"/>
    <w:basedOn w:val="Normal"/>
    <w:semiHidden/>
    <w:rsid w:val="005D6670"/>
    <w:pPr>
      <w:shd w:val="clear" w:color="auto" w:fill="000080"/>
    </w:pPr>
    <w:rPr>
      <w:rFonts w:ascii="Tahoma" w:hAnsi="Tahoma" w:cs="Tahoma"/>
    </w:rPr>
  </w:style>
  <w:style w:type="paragraph" w:styleId="ListParagraph">
    <w:name w:val="List Paragraph"/>
    <w:basedOn w:val="Normal"/>
    <w:qFormat/>
    <w:rsid w:val="00D62108"/>
    <w:pPr>
      <w:ind w:left="720"/>
      <w:contextualSpacing/>
    </w:pPr>
    <w:rPr>
      <w:rFonts w:ascii="Calibri" w:hAnsi="Calibri"/>
      <w:sz w:val="24"/>
      <w:szCs w:val="24"/>
      <w:lang w:eastAsia="en-US"/>
    </w:rPr>
  </w:style>
  <w:style w:type="character" w:customStyle="1" w:styleId="HeaderChar">
    <w:name w:val="Header Char"/>
    <w:link w:val="Header"/>
    <w:uiPriority w:val="99"/>
    <w:locked/>
    <w:rsid w:val="00D62108"/>
    <w:rPr>
      <w:rFonts w:ascii="Arial" w:eastAsia="MS Mincho" w:hAnsi="Arial"/>
      <w:lang w:val="en-US" w:eastAsia="ja-JP" w:bidi="ar-SA"/>
    </w:rPr>
  </w:style>
  <w:style w:type="character" w:customStyle="1" w:styleId="Heading3Char">
    <w:name w:val="Heading 3 Char"/>
    <w:link w:val="Heading3"/>
    <w:semiHidden/>
    <w:rsid w:val="00593C40"/>
    <w:rPr>
      <w:rFonts w:ascii="Cambria" w:eastAsia="Times New Roman" w:hAnsi="Cambria" w:cs="Times New Roman"/>
      <w:b/>
      <w:bCs/>
      <w:sz w:val="26"/>
      <w:szCs w:val="26"/>
      <w:lang w:val="en-US" w:eastAsia="ja-JP"/>
    </w:rPr>
  </w:style>
  <w:style w:type="paragraph" w:styleId="Title">
    <w:name w:val="Title"/>
    <w:basedOn w:val="Normal"/>
    <w:next w:val="Normal"/>
    <w:link w:val="TitleChar"/>
    <w:qFormat/>
    <w:rsid w:val="00593C40"/>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sid w:val="00593C40"/>
    <w:rPr>
      <w:rFonts w:ascii="Cambria" w:eastAsia="Times New Roman" w:hAnsi="Cambria" w:cs="Times New Roman"/>
      <w:b/>
      <w:bCs/>
      <w:kern w:val="28"/>
      <w:sz w:val="32"/>
      <w:szCs w:val="32"/>
      <w:lang w:val="en-US" w:eastAsia="ja-JP"/>
    </w:rPr>
  </w:style>
  <w:style w:type="paragraph" w:styleId="BalloonText">
    <w:name w:val="Balloon Text"/>
    <w:basedOn w:val="Normal"/>
    <w:semiHidden/>
    <w:rsid w:val="0014390A"/>
    <w:rPr>
      <w:rFonts w:ascii="Tahoma" w:hAnsi="Tahoma" w:cs="Tahoma"/>
      <w:sz w:val="16"/>
      <w:szCs w:val="16"/>
    </w:rPr>
  </w:style>
  <w:style w:type="paragraph" w:customStyle="1" w:styleId="Default">
    <w:name w:val="Default"/>
    <w:rsid w:val="00C96847"/>
    <w:pPr>
      <w:autoSpaceDE w:val="0"/>
      <w:autoSpaceDN w:val="0"/>
      <w:adjustRightInd w:val="0"/>
    </w:pPr>
    <w:rPr>
      <w:rFonts w:ascii="Trebuchet MS" w:hAnsi="Trebuchet MS" w:cs="Trebuchet MS"/>
      <w:color w:val="000000"/>
      <w:sz w:val="24"/>
      <w:szCs w:val="24"/>
    </w:rPr>
  </w:style>
  <w:style w:type="character" w:styleId="CommentReference">
    <w:name w:val="annotation reference"/>
    <w:basedOn w:val="DefaultParagraphFont"/>
    <w:semiHidden/>
    <w:unhideWhenUsed/>
    <w:rsid w:val="00F73842"/>
    <w:rPr>
      <w:sz w:val="16"/>
      <w:szCs w:val="16"/>
    </w:rPr>
  </w:style>
  <w:style w:type="paragraph" w:styleId="CommentText">
    <w:name w:val="annotation text"/>
    <w:basedOn w:val="Normal"/>
    <w:link w:val="CommentTextChar"/>
    <w:semiHidden/>
    <w:unhideWhenUsed/>
    <w:rsid w:val="00F73842"/>
  </w:style>
  <w:style w:type="character" w:customStyle="1" w:styleId="CommentTextChar">
    <w:name w:val="Comment Text Char"/>
    <w:basedOn w:val="DefaultParagraphFont"/>
    <w:link w:val="CommentText"/>
    <w:semiHidden/>
    <w:rsid w:val="00F73842"/>
    <w:rPr>
      <w:rFonts w:ascii="Arial" w:hAnsi="Arial"/>
      <w:lang w:val="en-US" w:eastAsia="ja-JP"/>
    </w:rPr>
  </w:style>
  <w:style w:type="paragraph" w:styleId="CommentSubject">
    <w:name w:val="annotation subject"/>
    <w:basedOn w:val="CommentText"/>
    <w:next w:val="CommentText"/>
    <w:link w:val="CommentSubjectChar"/>
    <w:semiHidden/>
    <w:unhideWhenUsed/>
    <w:rsid w:val="00F73842"/>
    <w:rPr>
      <w:b/>
      <w:bCs/>
    </w:rPr>
  </w:style>
  <w:style w:type="character" w:customStyle="1" w:styleId="CommentSubjectChar">
    <w:name w:val="Comment Subject Char"/>
    <w:basedOn w:val="CommentTextChar"/>
    <w:link w:val="CommentSubject"/>
    <w:semiHidden/>
    <w:rsid w:val="00F73842"/>
    <w:rPr>
      <w:rFonts w:ascii="Arial" w:hAnsi="Arial"/>
      <w:b/>
      <w:bCs/>
      <w:lang w:val="en-US" w:eastAsia="ja-JP"/>
    </w:rPr>
  </w:style>
  <w:style w:type="character" w:customStyle="1" w:styleId="FooterChar">
    <w:name w:val="Footer Char"/>
    <w:basedOn w:val="DefaultParagraphFont"/>
    <w:link w:val="Footer"/>
    <w:uiPriority w:val="99"/>
    <w:rsid w:val="00051858"/>
    <w:rPr>
      <w:rFonts w:ascii="Arial" w:hAnsi="Arial"/>
      <w:lang w:val="en-US" w:eastAsia="ja-JP"/>
    </w:rPr>
  </w:style>
  <w:style w:type="paragraph" w:styleId="NormalWeb">
    <w:name w:val="Normal (Web)"/>
    <w:basedOn w:val="Normal"/>
    <w:semiHidden/>
    <w:unhideWhenUsed/>
    <w:rsid w:val="00C45C7A"/>
    <w:rPr>
      <w:rFonts w:ascii="Times New Roman" w:hAnsi="Times New Roman"/>
      <w:sz w:val="24"/>
      <w:szCs w:val="24"/>
    </w:rPr>
  </w:style>
  <w:style w:type="table" w:styleId="LightList-Accent4">
    <w:name w:val="Light List Accent 4"/>
    <w:basedOn w:val="TableNormal"/>
    <w:uiPriority w:val="61"/>
    <w:rsid w:val="008D3A1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FootnoteText">
    <w:name w:val="footnote text"/>
    <w:basedOn w:val="Normal"/>
    <w:link w:val="FootnoteTextChar"/>
    <w:rsid w:val="00E93493"/>
    <w:pPr>
      <w:jc w:val="both"/>
    </w:pPr>
    <w:rPr>
      <w:rFonts w:ascii="Times New Roman" w:eastAsia="Times New Roman" w:hAnsi="Times New Roman"/>
      <w:lang w:val="en-GB" w:eastAsia="en-GB"/>
    </w:rPr>
  </w:style>
  <w:style w:type="character" w:customStyle="1" w:styleId="FootnoteTextChar">
    <w:name w:val="Footnote Text Char"/>
    <w:basedOn w:val="DefaultParagraphFont"/>
    <w:link w:val="FootnoteText"/>
    <w:rsid w:val="00E93493"/>
    <w:rPr>
      <w:rFonts w:eastAsia="Times New Roman"/>
    </w:rPr>
  </w:style>
  <w:style w:type="character" w:styleId="FootnoteReference">
    <w:name w:val="footnote reference"/>
    <w:basedOn w:val="DefaultParagraphFont"/>
    <w:rsid w:val="00E93493"/>
    <w:rPr>
      <w:vertAlign w:val="superscript"/>
    </w:rPr>
  </w:style>
  <w:style w:type="character" w:customStyle="1" w:styleId="Heading2Char">
    <w:name w:val="Heading 2 Char"/>
    <w:basedOn w:val="DefaultParagraphFont"/>
    <w:link w:val="Heading2"/>
    <w:semiHidden/>
    <w:rsid w:val="00E35C67"/>
    <w:rPr>
      <w:rFonts w:asciiTheme="majorHAnsi" w:eastAsiaTheme="majorEastAsia" w:hAnsiTheme="majorHAnsi" w:cstheme="majorBidi"/>
      <w:color w:val="365F91" w:themeColor="accent1" w:themeShade="BF"/>
      <w:sz w:val="26"/>
      <w:szCs w:val="26"/>
      <w:lang w:val="en-US" w:eastAsia="ja-JP"/>
    </w:rPr>
  </w:style>
  <w:style w:type="paragraph" w:customStyle="1" w:styleId="normal1">
    <w:name w:val="normal1"/>
    <w:basedOn w:val="Normal"/>
    <w:link w:val="normal1Char"/>
    <w:qFormat/>
    <w:rsid w:val="00E35C67"/>
    <w:pPr>
      <w:spacing w:after="240" w:line="360" w:lineRule="auto"/>
      <w:jc w:val="both"/>
    </w:pPr>
    <w:rPr>
      <w:rFonts w:ascii="Calibri" w:eastAsiaTheme="minorHAnsi" w:hAnsi="Calibri" w:cstheme="minorBidi"/>
      <w:color w:val="404040" w:themeColor="text1" w:themeTint="BF"/>
      <w:lang w:val="en-GB" w:eastAsia="en-GB"/>
    </w:rPr>
  </w:style>
  <w:style w:type="character" w:customStyle="1" w:styleId="normal1Char">
    <w:name w:val="normal1 Char"/>
    <w:basedOn w:val="DefaultParagraphFont"/>
    <w:link w:val="normal1"/>
    <w:rsid w:val="00E35C67"/>
    <w:rPr>
      <w:rFonts w:ascii="Calibri" w:eastAsiaTheme="minorHAnsi" w:hAnsi="Calibri" w:cstheme="minorBidi"/>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80950">
      <w:bodyDiv w:val="1"/>
      <w:marLeft w:val="0"/>
      <w:marRight w:val="0"/>
      <w:marTop w:val="0"/>
      <w:marBottom w:val="0"/>
      <w:divBdr>
        <w:top w:val="none" w:sz="0" w:space="0" w:color="auto"/>
        <w:left w:val="none" w:sz="0" w:space="0" w:color="auto"/>
        <w:bottom w:val="none" w:sz="0" w:space="0" w:color="auto"/>
        <w:right w:val="none" w:sz="0" w:space="0" w:color="auto"/>
      </w:divBdr>
    </w:div>
    <w:div w:id="392697369">
      <w:bodyDiv w:val="1"/>
      <w:marLeft w:val="0"/>
      <w:marRight w:val="0"/>
      <w:marTop w:val="0"/>
      <w:marBottom w:val="0"/>
      <w:divBdr>
        <w:top w:val="none" w:sz="0" w:space="0" w:color="auto"/>
        <w:left w:val="none" w:sz="0" w:space="0" w:color="auto"/>
        <w:bottom w:val="none" w:sz="0" w:space="0" w:color="auto"/>
        <w:right w:val="none" w:sz="0" w:space="0" w:color="auto"/>
      </w:divBdr>
    </w:div>
    <w:div w:id="472406828">
      <w:bodyDiv w:val="1"/>
      <w:marLeft w:val="0"/>
      <w:marRight w:val="0"/>
      <w:marTop w:val="0"/>
      <w:marBottom w:val="0"/>
      <w:divBdr>
        <w:top w:val="none" w:sz="0" w:space="0" w:color="auto"/>
        <w:left w:val="none" w:sz="0" w:space="0" w:color="auto"/>
        <w:bottom w:val="none" w:sz="0" w:space="0" w:color="auto"/>
        <w:right w:val="none" w:sz="0" w:space="0" w:color="auto"/>
      </w:divBdr>
    </w:div>
    <w:div w:id="732582833">
      <w:bodyDiv w:val="1"/>
      <w:marLeft w:val="0"/>
      <w:marRight w:val="0"/>
      <w:marTop w:val="0"/>
      <w:marBottom w:val="0"/>
      <w:divBdr>
        <w:top w:val="none" w:sz="0" w:space="0" w:color="auto"/>
        <w:left w:val="none" w:sz="0" w:space="0" w:color="auto"/>
        <w:bottom w:val="none" w:sz="0" w:space="0" w:color="auto"/>
        <w:right w:val="none" w:sz="0" w:space="0" w:color="auto"/>
      </w:divBdr>
    </w:div>
    <w:div w:id="746146604">
      <w:bodyDiv w:val="1"/>
      <w:marLeft w:val="0"/>
      <w:marRight w:val="0"/>
      <w:marTop w:val="0"/>
      <w:marBottom w:val="0"/>
      <w:divBdr>
        <w:top w:val="none" w:sz="0" w:space="0" w:color="auto"/>
        <w:left w:val="none" w:sz="0" w:space="0" w:color="auto"/>
        <w:bottom w:val="none" w:sz="0" w:space="0" w:color="auto"/>
        <w:right w:val="none" w:sz="0" w:space="0" w:color="auto"/>
      </w:divBdr>
    </w:div>
    <w:div w:id="888763365">
      <w:bodyDiv w:val="1"/>
      <w:marLeft w:val="0"/>
      <w:marRight w:val="0"/>
      <w:marTop w:val="0"/>
      <w:marBottom w:val="0"/>
      <w:divBdr>
        <w:top w:val="none" w:sz="0" w:space="0" w:color="auto"/>
        <w:left w:val="none" w:sz="0" w:space="0" w:color="auto"/>
        <w:bottom w:val="none" w:sz="0" w:space="0" w:color="auto"/>
        <w:right w:val="none" w:sz="0" w:space="0" w:color="auto"/>
      </w:divBdr>
    </w:div>
    <w:div w:id="948203837">
      <w:bodyDiv w:val="1"/>
      <w:marLeft w:val="0"/>
      <w:marRight w:val="0"/>
      <w:marTop w:val="0"/>
      <w:marBottom w:val="0"/>
      <w:divBdr>
        <w:top w:val="none" w:sz="0" w:space="0" w:color="auto"/>
        <w:left w:val="none" w:sz="0" w:space="0" w:color="auto"/>
        <w:bottom w:val="none" w:sz="0" w:space="0" w:color="auto"/>
        <w:right w:val="none" w:sz="0" w:space="0" w:color="auto"/>
      </w:divBdr>
    </w:div>
    <w:div w:id="1179923888">
      <w:bodyDiv w:val="1"/>
      <w:marLeft w:val="0"/>
      <w:marRight w:val="0"/>
      <w:marTop w:val="0"/>
      <w:marBottom w:val="0"/>
      <w:divBdr>
        <w:top w:val="none" w:sz="0" w:space="0" w:color="auto"/>
        <w:left w:val="none" w:sz="0" w:space="0" w:color="auto"/>
        <w:bottom w:val="none" w:sz="0" w:space="0" w:color="auto"/>
        <w:right w:val="none" w:sz="0" w:space="0" w:color="auto"/>
      </w:divBdr>
    </w:div>
    <w:div w:id="1243638695">
      <w:bodyDiv w:val="1"/>
      <w:marLeft w:val="0"/>
      <w:marRight w:val="0"/>
      <w:marTop w:val="0"/>
      <w:marBottom w:val="0"/>
      <w:divBdr>
        <w:top w:val="none" w:sz="0" w:space="0" w:color="auto"/>
        <w:left w:val="none" w:sz="0" w:space="0" w:color="auto"/>
        <w:bottom w:val="none" w:sz="0" w:space="0" w:color="auto"/>
        <w:right w:val="none" w:sz="0" w:space="0" w:color="auto"/>
      </w:divBdr>
    </w:div>
    <w:div w:id="1254052845">
      <w:bodyDiv w:val="1"/>
      <w:marLeft w:val="0"/>
      <w:marRight w:val="0"/>
      <w:marTop w:val="0"/>
      <w:marBottom w:val="0"/>
      <w:divBdr>
        <w:top w:val="none" w:sz="0" w:space="0" w:color="auto"/>
        <w:left w:val="none" w:sz="0" w:space="0" w:color="auto"/>
        <w:bottom w:val="none" w:sz="0" w:space="0" w:color="auto"/>
        <w:right w:val="none" w:sz="0" w:space="0" w:color="auto"/>
      </w:divBdr>
    </w:div>
    <w:div w:id="1658265427">
      <w:bodyDiv w:val="1"/>
      <w:marLeft w:val="0"/>
      <w:marRight w:val="0"/>
      <w:marTop w:val="0"/>
      <w:marBottom w:val="0"/>
      <w:divBdr>
        <w:top w:val="none" w:sz="0" w:space="0" w:color="auto"/>
        <w:left w:val="none" w:sz="0" w:space="0" w:color="auto"/>
        <w:bottom w:val="none" w:sz="0" w:space="0" w:color="auto"/>
        <w:right w:val="none" w:sz="0" w:space="0" w:color="auto"/>
      </w:divBdr>
    </w:div>
    <w:div w:id="1781224087">
      <w:bodyDiv w:val="1"/>
      <w:marLeft w:val="0"/>
      <w:marRight w:val="0"/>
      <w:marTop w:val="0"/>
      <w:marBottom w:val="0"/>
      <w:divBdr>
        <w:top w:val="none" w:sz="0" w:space="0" w:color="auto"/>
        <w:left w:val="none" w:sz="0" w:space="0" w:color="auto"/>
        <w:bottom w:val="none" w:sz="0" w:space="0" w:color="auto"/>
        <w:right w:val="none" w:sz="0" w:space="0" w:color="auto"/>
      </w:divBdr>
    </w:div>
    <w:div w:id="1784886835">
      <w:bodyDiv w:val="1"/>
      <w:marLeft w:val="0"/>
      <w:marRight w:val="0"/>
      <w:marTop w:val="0"/>
      <w:marBottom w:val="0"/>
      <w:divBdr>
        <w:top w:val="none" w:sz="0" w:space="0" w:color="auto"/>
        <w:left w:val="none" w:sz="0" w:space="0" w:color="auto"/>
        <w:bottom w:val="none" w:sz="0" w:space="0" w:color="auto"/>
        <w:right w:val="none" w:sz="0" w:space="0" w:color="auto"/>
      </w:divBdr>
    </w:div>
    <w:div w:id="1862427126">
      <w:bodyDiv w:val="1"/>
      <w:marLeft w:val="0"/>
      <w:marRight w:val="0"/>
      <w:marTop w:val="0"/>
      <w:marBottom w:val="0"/>
      <w:divBdr>
        <w:top w:val="none" w:sz="0" w:space="0" w:color="auto"/>
        <w:left w:val="none" w:sz="0" w:space="0" w:color="auto"/>
        <w:bottom w:val="none" w:sz="0" w:space="0" w:color="auto"/>
        <w:right w:val="none" w:sz="0" w:space="0" w:color="auto"/>
      </w:divBdr>
    </w:div>
    <w:div w:id="1876262388">
      <w:bodyDiv w:val="1"/>
      <w:marLeft w:val="0"/>
      <w:marRight w:val="0"/>
      <w:marTop w:val="0"/>
      <w:marBottom w:val="0"/>
      <w:divBdr>
        <w:top w:val="none" w:sz="0" w:space="0" w:color="auto"/>
        <w:left w:val="none" w:sz="0" w:space="0" w:color="auto"/>
        <w:bottom w:val="none" w:sz="0" w:space="0" w:color="auto"/>
        <w:right w:val="none" w:sz="0" w:space="0" w:color="auto"/>
      </w:divBdr>
    </w:div>
    <w:div w:id="1877352902">
      <w:bodyDiv w:val="1"/>
      <w:marLeft w:val="0"/>
      <w:marRight w:val="0"/>
      <w:marTop w:val="0"/>
      <w:marBottom w:val="0"/>
      <w:divBdr>
        <w:top w:val="none" w:sz="0" w:space="0" w:color="auto"/>
        <w:left w:val="none" w:sz="0" w:space="0" w:color="auto"/>
        <w:bottom w:val="none" w:sz="0" w:space="0" w:color="auto"/>
        <w:right w:val="none" w:sz="0" w:space="0" w:color="auto"/>
      </w:divBdr>
    </w:div>
    <w:div w:id="2051613229">
      <w:bodyDiv w:val="1"/>
      <w:marLeft w:val="0"/>
      <w:marRight w:val="0"/>
      <w:marTop w:val="0"/>
      <w:marBottom w:val="0"/>
      <w:divBdr>
        <w:top w:val="none" w:sz="0" w:space="0" w:color="auto"/>
        <w:left w:val="none" w:sz="0" w:space="0" w:color="auto"/>
        <w:bottom w:val="none" w:sz="0" w:space="0" w:color="auto"/>
        <w:right w:val="none" w:sz="0" w:space="0" w:color="auto"/>
      </w:divBdr>
    </w:div>
    <w:div w:id="210410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82C42-2F6D-4B0A-B51C-0D5F0781A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1152</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POLICE &amp; CRIME COMMISSIONER DECISION -  (N° xxx)</vt:lpstr>
    </vt:vector>
  </TitlesOfParts>
  <Company>Cumbria Police</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POLICE &amp; CRIME COMMISSIONER DECISION -  (N° xxx)</dc:title>
  <dc:creator>Head, Joanne</dc:creator>
  <cp:lastModifiedBy>Bellis, Michelle</cp:lastModifiedBy>
  <cp:revision>4</cp:revision>
  <cp:lastPrinted>2024-07-08T14:22:00Z</cp:lastPrinted>
  <dcterms:created xsi:type="dcterms:W3CDTF">2024-07-08T12:52:00Z</dcterms:created>
  <dcterms:modified xsi:type="dcterms:W3CDTF">2024-07-08T14:22:00Z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2021-11-05T16:32:49Z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ContentBits">
    <vt:lpwstr>0</vt:lpwstr>
  </property>
</Properties>
</file>